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86R14157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 capita funding by population of each local mental health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533.035,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execute contracts with local mental health authorities in a manner that ensures funding of services per capita of the population served by a local mental health authority is equal to the funding of services per capita of the population served by other local mental health authorities.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contracts between the Health and Human Services Commission and a local mental health authority executed or renewed, and audits conducted under those contracts, on or after the effective date of this Act. Contracts entered into or renewed before the effective date of this Act, and audits conducted under those contracts, are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