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Bettencourt</w:t>
      </w:r>
      <w:r xml:space="preserve">
        <w:tab wTab="150" tlc="none" cTlc="0"/>
      </w:r>
      <w:r>
        <w:t xml:space="preserve">S.B.</w:t>
      </w:r>
      <w:r xml:space="preserve">
        <w:t> </w:t>
      </w:r>
      <w:r>
        <w:t xml:space="preserve">No.</w:t>
      </w:r>
      <w:r xml:space="preserve">
        <w:t> </w:t>
      </w:r>
      <w:r>
        <w:t xml:space="preserve">2373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State Affairs;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7, Nays 0, 1 present not voting;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2373</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deceptive trade practices by interactive computer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Social Media Deceptive Trade Practices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 Business &amp; Commerce Code, is amended by adding Subchapter M to read as follows:</w:t>
      </w:r>
    </w:p>
    <w:p w:rsidR="003F3435" w:rsidRDefault="0032493E">
      <w:pPr>
        <w:spacing w:line="480" w:lineRule="auto"/>
        <w:jc w:val="center"/>
      </w:pPr>
      <w:r>
        <w:rPr>
          <w:u w:val="single"/>
        </w:rPr>
        <w:t xml:space="preserve">SUBCHAPTER M.  DISCOURSE ON INTERACTIVE WEB-BASED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by multiple users to a server, including a service, system, web site, web application, or web portal that provides a social media platform for users to engage in expressive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any person that posts, uploads, transmits, or otherwise publishes content through any interactive computer service, including a social media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17.962.</w:t>
      </w:r>
      <w:r>
        <w:rPr>
          <w:u w:val="single"/>
        </w:rPr>
        <w:t xml:space="preserve"> </w:t>
      </w:r>
      <w:r>
        <w:rPr>
          <w:u w:val="single"/>
        </w:rPr>
        <w:t xml:space="preserve"> </w:t>
      </w:r>
      <w:r>
        <w:rPr>
          <w:u w:val="single"/>
        </w:rPr>
        <w:t xml:space="preserve">INAPPLICABILITY OF SUBCHAPTER.  This subchapter does not apply to an Internet service provider as defined by Section 324.055.</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17.963.</w:t>
      </w:r>
      <w:r>
        <w:rPr>
          <w:u w:val="single"/>
        </w:rPr>
        <w:t xml:space="preserve"> </w:t>
      </w:r>
      <w:r>
        <w:rPr>
          <w:u w:val="single"/>
        </w:rPr>
        <w:t xml:space="preserve"> </w:t>
      </w:r>
      <w:r>
        <w:rPr>
          <w:u w:val="single"/>
        </w:rPr>
        <w:t xml:space="preserve">UNLAWFUL ACTS.  (a)</w:t>
      </w:r>
      <w:r>
        <w:rPr>
          <w:u w:val="single"/>
        </w:rPr>
        <w:t xml:space="preserve"> </w:t>
      </w:r>
      <w:r>
        <w:rPr>
          <w:u w:val="single"/>
        </w:rPr>
        <w:t xml:space="preserve"> </w:t>
      </w:r>
      <w:r>
        <w:rPr>
          <w:u w:val="single"/>
        </w:rPr>
        <w:t xml:space="preserve">Except as provided by Subsection (b), an interactive computer service that represents the service as viewpoint neutral, impartial, or non-biased may not on the basis of the content or viewpoint expressed: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block a user's speech;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censor a user's speech;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ban a user;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 user's speech;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shadow ban a user;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de-platform a user;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de-boost a user's speech;</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de-monetize a user;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otherwise restrict speech of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Pursuant to 47 U.S.C. Section 230(c), it is a defense to liability under this section that an interactive computer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and in good faith acted to restrict access to or availability of content that is objectively considered to be obscene, lewd, lascivious, filthy, excessively violent, harassing, or otherwise objectionable, whether or not such content is constitutionally protected;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acted to enable or make available the technical means to restrict access to content described in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17.964.</w:t>
      </w:r>
      <w:r>
        <w:rPr>
          <w:u w:val="single"/>
        </w:rPr>
        <w:t xml:space="preserve"> </w:t>
      </w:r>
      <w:r>
        <w:rPr>
          <w:u w:val="single"/>
        </w:rPr>
        <w:t xml:space="preserve"> </w:t>
      </w:r>
      <w:r>
        <w:rPr>
          <w:u w:val="single"/>
        </w:rPr>
        <w:t xml:space="preserve">DECEPTIVE TRADE PRACTICE.  A violation of this subchapter is a false, misleading, or deceptive act or practice within the meaning of Section 17.46 and is actionable in a public suit brought under Subchapter 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