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Fallon</w:t>
      </w:r>
      <w:r xml:space="preserve">
        <w:tab wTab="150" tlc="none" cTlc="0"/>
      </w:r>
      <w:r>
        <w:t xml:space="preserve">S.B.</w:t>
      </w:r>
      <w:r xml:space="preserve">
        <w:t> </w:t>
      </w:r>
      <w:r>
        <w:t xml:space="preserve">No.</w:t>
      </w:r>
      <w:r xml:space="preserve">
        <w:t> </w:t>
      </w:r>
      <w:r>
        <w:t xml:space="preserve">2381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places where certain knives are prohibited.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possesses or goes with a location-restricted knife: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 the premises where a high school, collegiate, or professional sporting event or interscholastic event is taking place, unless the person is a participant in the event and a location-restricted knife is used in the event;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on the premises of a correctional facility;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on the premises of a hospital licensed under Chapter 241, Health and Safety Code, or on the premises of a nursing facility licensed under Chapter 242, Health and Safety Code, unless the person has written authorization of the hospital or nursing facility administration, as appropriate; </w:t>
      </w:r>
      <w:r>
        <w:rPr>
          <w:u w:val="single"/>
        </w:rPr>
        <w:t xml:space="preserve">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on the premises of a mental hospital, as defined by Section 571.003, Health and Safety Code, unless the person has written authorization of the mental hospital administration[</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an amusement park;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on the premises of a church, synagogue, or other established place of religious worship</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46.03(c)(2), Penal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"Premises" has</w:t>
      </w:r>
      <w:r>
        <w:t xml:space="preserve"> [</w:t>
      </w:r>
      <w:r>
        <w:rPr>
          <w:strike/>
        </w:rPr>
        <w:t xml:space="preserve">"Amusement park" and "premises" have</w:t>
      </w:r>
      <w:r>
        <w:t xml:space="preserve">] the </w:t>
      </w:r>
      <w:r>
        <w:rPr>
          <w:u w:val="single"/>
        </w:rPr>
        <w:t xml:space="preserve">meaning</w:t>
      </w:r>
      <w:r>
        <w:t xml:space="preserve"> [</w:t>
      </w:r>
      <w:r>
        <w:rPr>
          <w:strike/>
        </w:rPr>
        <w:t xml:space="preserve">meanings</w:t>
      </w:r>
      <w:r>
        <w:t xml:space="preserve">] assigned by Section 46.035.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