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86R9757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2384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Office for Sexual Assault Survivor Assistance within the criminal justice division of the governor's office.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420.011(a),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attorney general</w:t>
      </w:r>
      <w:r>
        <w:rPr>
          <w:u w:val="single"/>
        </w:rPr>
        <w:t xml:space="preserve">, with the advice of the Office for Sexual Assault Survivor Assistance established under Section 772.0064,</w:t>
      </w:r>
      <w:r>
        <w:t xml:space="preserve"> may adopt rules necessary to implement this chapter.  A proposed rule must be provided to grant recipients at least 60 days before the date of adoption.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420.031(c),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developing the evidence collection kit and protocol, the attorney general shall consult with </w:t>
      </w:r>
      <w:r>
        <w:rPr>
          <w:u w:val="single"/>
        </w:rPr>
        <w:t xml:space="preserve">the Office for Sexual Assault Survivor Assistance established under Section 772.0064</w:t>
      </w:r>
      <w:r>
        <w:t xml:space="preserve"> [</w:t>
      </w:r>
      <w:r>
        <w:rPr>
          <w:strike/>
        </w:rPr>
        <w:t xml:space="preserve">individuals and organizations having knowledge and experience in the issues of sexual assault and other sex offenses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772, Government Code, is amended by adding Section 772.0064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772.0064.</w:t>
      </w:r>
      <w:r>
        <w:rPr>
          <w:u w:val="single"/>
        </w:rPr>
        <w:t xml:space="preserve"> </w:t>
      </w:r>
      <w:r>
        <w:rPr>
          <w:u w:val="single"/>
        </w:rPr>
        <w:t xml:space="preserve"> </w:t>
      </w:r>
      <w:r>
        <w:rPr>
          <w:u w:val="single"/>
        </w:rPr>
        <w:t xml:space="preserve">OFFICE FOR SEXUAL ASSAULT SURVIVOR ASSISTANCE.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"Office" means the Office for Sexual Assault Survivor Assistance.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 assault," "sexual assault nurse examiner,"</w:t>
      </w:r>
      <w:r>
        <w:rPr>
          <w:u w:val="single"/>
        </w:rPr>
        <w:t xml:space="preserve"> </w:t>
      </w:r>
      <w:r>
        <w:rPr>
          <w:u w:val="single"/>
        </w:rPr>
        <w:t xml:space="preserve">and "survivor"</w:t>
      </w:r>
      <w:r>
        <w:rPr>
          <w:u w:val="single"/>
        </w:rPr>
        <w:t xml:space="preserve"> </w:t>
      </w:r>
      <w:r>
        <w:rPr>
          <w:u w:val="single"/>
        </w:rPr>
        <w:t xml:space="preserve">have the meanings assigned by Section 420.003.</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governor shall establish the Office for Sexual Assault Survivor Assistance within the criminal justice division established under Section 772.006.</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governor shall appoint a director for the office to serve at the pleasure of the governor.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may hire staff as necessary to carry out the duties of the office within the guidelines established by the governor.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facilitate communication and cooperation between state agencies that have duties relating to sexual assault prevention, investigation, or prosecution or services provided to survivors in order to coordinate state resources available for assisting survivors;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collect, analyze, and make publicly available information, organized by council of governments region, regarding the prevention, investigation, and prosecution of sexual assault and services provided to survivors, including a list of SAFE-ready facilities designated under Section 323.0015, Health and Safety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periodically make and update recommendations to the attorney general for rules governing the collection and preservation of evidence in cases of sexual assault or other sex offenses, including recommendations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evidence collection kits for use in the collection and preservation of evidence of a sexual assault or other sex offense;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protocols for the collection and preservation of evidence of a sexual assault or other sex offense;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curriculum for sexual assault evidence collection and preservation training programs;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requirements for certification of sexual assault nurse examiners;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advise and provide resources to the Texas Commission on Law Enforcement to improve law enforcement officer training related to the investigation and documentation of cases involving sexual assault, with a focus on the interactions between law enforcement officers and survivors;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biennially contract for a survey of the resources provided to survivors by nonprofit organizations, health care facilities, institutions of higher education, and governmental entities in each region of the state;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develop a statewide standard for best practices in the provision of resources to survivors by nonprofit organizations, health care facilities, institutions of higher education, and governmental entities in consultation with individuals and organizations having knowledge and experience in issues of sexual assault or other sex offenses, including one or more: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 enforcement agencies with jurisdiction over the investigation of sexual assault or other sex offenses;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prosecutors responsible for prosecuting sexual assault or other sex offenses;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representatives of each state agency that has duties relating to sexual assault prevention, investigation, or prosecution or provides services to survivors, including the office of the attorney general;</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representatives from regional councils of government or the Texas Association of Regional Councils;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representatives of the Texas Forensic Science Commission;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nonprofit organizations that receive funds under the Victims of Crime Act of 1984 (Title II, Pub. L. No. 98-473) for the purposes of providing services to survivors;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health care facilities that perform forensic examinations on survivors;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certified sexual assault nurse examiners;</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providers of sexual assault nurse examiner training programs certified by the attorney general;</w:t>
      </w:r>
      <w:r>
        <w:t xml:space="preserve"> </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representatives from Texas Court Appointed Special Advocates; and</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representatives designated by a nonprofit organization that provides services to survivors to represent the interests of survivors of sexual assault or other sex offenses.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November 1 of each even-numbered year, the office shall analyze the data from the survey performed under Subsection (e) and prepare and submit to the legislature a report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resources provided to survivors by nonprofit organizations, health care facilities, institutions of higher education, and governmental entities in each region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differences between the resources provided to survivors and the statewide standard, comparable by region and by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recommendations on measures each region could take to better comply with the statewide standard;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description of potential sources and mechanisms of funding available to implement the recommendations.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To the extent possible, all recommendation, standard, and resource information provided by the office shall be evidence-based and consistent with standards of practice and care in this state and throughout the country.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To the extent permitted by federal law, the criminal justice division shall use funding received under the Victims of Crime Act of 1984 (Title II, Pub. L. No.</w:t>
      </w:r>
      <w:r>
        <w:rPr>
          <w:u w:val="single"/>
        </w:rPr>
        <w:t xml:space="preserve"> </w:t>
      </w:r>
      <w:r>
        <w:rPr>
          <w:u w:val="single"/>
        </w:rPr>
        <w:t xml:space="preserve">98-473) for purposes of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1701.253, Occupations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 shall consult with the Office for Sexual Assault Survivor Assistance established under Section 772.0064, Government Code, regarding minimum curriculum requirements for training in the investigation and documentation of cases that involve sexual assault or other sex offenses.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governor shall establish the Office for Sexual Assault Survivor Assistance and appoint a director of the office as required by Section 772.0064, Government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