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2390</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a person protected by a magistrate's order for emergency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17.294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17.294.</w:t>
      </w:r>
      <w:r>
        <w:rPr>
          <w:u w:val="single"/>
        </w:rPr>
        <w:t xml:space="preserve"> </w:t>
      </w:r>
      <w:r>
        <w:rPr>
          <w:u w:val="single"/>
        </w:rPr>
        <w:t xml:space="preserve"> </w:t>
      </w:r>
      <w:r>
        <w:rPr>
          <w:u w:val="single"/>
        </w:rPr>
        <w:t xml:space="preserve">CONFIDENTIALITY OF CERTAIN INFORMATION IN ORDER FOR EMERGENCY PROTECTION.  On request by a person protected by an order for emergency protection issued under Article 17.292, or if determined necessary by the magistrate, the court issuing the order may protect the person's mailing address by rendering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person protected under the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person's mailing address to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another person to receive on behalf of the person any notice or documents filed with the court related to the order;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 the designated person's mailing address to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court clerk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strike the mailing address of the person protected by the order from the public records of the court,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confidential record of the mailing address for use only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court;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for purposes of entering the information required by Section 411.042(b)(6), Government Code, into the statewide law enforcement information system maintained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release of the information to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magistrate's order for emergency protection issued on or after the effective date of this Act. </w:t>
      </w:r>
      <w:r>
        <w:t xml:space="preserve"> </w:t>
      </w:r>
      <w:r>
        <w:t xml:space="preserve">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