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86R11450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criminal history record information for applicants for employment with the ombudsman for children and youth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411.1106(b),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executive commissioner of the commission, or the executive commissioner's designee, is entitled to obtain from the department criminal history record information maintained by the department that relates to a person who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applicant for employment for a position in which the person, as an employee, would have access to sensitive personal or financial information, as determined by the executive commissioner,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eligibility services division of the commission;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commission's office of inspector general;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commission's office of the ombudsman for children and youth in foster care;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employee of the commission who has access to sensitive personal or financial information, as determined by the executive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