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86R13671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the higher education pilot program for foster youth and former foster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264, Family Code, is amended by adding Section 264.1218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264.1218.</w:t>
      </w:r>
      <w:r>
        <w:rPr>
          <w:u w:val="single"/>
        </w:rPr>
        <w:t xml:space="preserve"> </w:t>
      </w:r>
      <w:r>
        <w:rPr>
          <w:u w:val="single"/>
        </w:rPr>
        <w:t xml:space="preserve"> </w:t>
      </w:r>
      <w:r>
        <w:rPr>
          <w:u w:val="single"/>
        </w:rPr>
        <w:t xml:space="preserve">HIGHER EDUCATION PILOT PROGRAM.  (a)  In this section, "pilot program" means the higher education pilot program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a higher education pilot program that provides foster youth and former foster youth in Bexar County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intensive outreach and support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 the understanding and preparation of foster youth and former foster youth for enrollment in institutions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increase the number of foster youth and former foster youth who apply to institutions of higher education;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increase the number of foster youth and former foster youth enrollments at 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benefits and opportunities of postsecondary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planning for postsecondary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financial aid opportunities for enrollment at institutions of higher education;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federal and state services and benefits, including health and mental health care services, available to foster youth and former foster youth while enrolled at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career exploration;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literacy training, including security from identity theft;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assistance with submitting applications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enrollment at an institution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financial aid for enrollment at an institution of higher education;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scholarships available for foster youth and former foster youth, including a state educational and training voucher program under Section 477(i), Social Security Act (42 U.S.C. Section 677(i));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program, including transportation, provided at no charge to socially and academically prepare foster youth and former foster youth for postsecondary education during the summer before a youth first attends an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collaborate with the Alamo Community College District, The University of Texas at San Antonio, and Texas A&amp;M University--San Antonio to establish and operate the pilot program.  An institution of higher education participating in the pilot program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foster youth and former foster youth with flexibility and assistance in completing an application for enrollment;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programs with relevant interested persons, both at the institution and outside the institution, to increase the enrollment of foster youth and former foster youth at the institution and align services for the youth;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adjust the cost of attendance for foster youth and former foster youth to include the cost of housing during periods of non-enrollment;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institutional aid to foster youth and former foster youth to meet any cost of attendance not covered by other federal or state educational grants;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outreach to foster youth and former foster youth to ensure the youth are aware of housing resources available during periods of non-enrollment;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subsidize any fees associated with orientation and offer transportation at no charge to the foster youth or former foster youth to orientation or for moving to the institution;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hire and provide training for at least one full-time employee, who has an advanced degree and at least two years of relevant experience, to serve as a contact to provide case management services and monthly face-to-face meetings with students who are foster youth or former foster youth;</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 or enhance campus support programs to provide students who are foster youth or former foster youth with a wide range of on-campus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financial aid assistance;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advice;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leadership development;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the availability of robust physical and mental student health services that meet the specific needs of foster youth or former foster youth;</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establish or expand early alert systems to identify and support foster youth or former foster youth who may be struggling academically;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collect, review, and monitor information for program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complete an evaluation of the pilot program not later than the second anniversary of the date the pilot program begins.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submit a written report on the evaluation of the pilot program to the governor, lieutenant governor, and speaker of the house of representatives.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foster youth or former foster youth who participate in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foster youth or former foster youth enrolled in an institution of higher education before and after the pilot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recommendation on whether to expand the pilot program statewide.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Family and Protective Services shall establish the pilot program required by Section 264.1218, Family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