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2019S0402-1  03/08/19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standardized tests in evaluating the performance of a school district or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accelerated instruction under Section 28.0211;</w:t>
      </w:r>
    </w:p>
    <w:p w:rsidR="003F3435" w:rsidRDefault="0032493E">
      <w:pPr>
        <w:spacing w:line="480" w:lineRule="auto"/>
        <w:ind w:firstLine="2160"/>
        <w:jc w:val="both"/>
      </w:pPr>
      <w:r>
        <w:t xml:space="preserve">[</w:t>
      </w:r>
      <w:r>
        <w:rPr>
          <w:strike/>
        </w:rPr>
        <w:t xml:space="preserve">(E)</w:t>
      </w:r>
      <w:r>
        <w:t xml:space="preserve">]  high school graduation requirements under Section 28.025;</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special education programs under Subchapter A, Chapter 29;</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bilingual education under Subchapter B, Chapter 29;</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prekindergarten programs under Subchapter E or E-1, Chapter 29;</w:t>
      </w:r>
    </w:p>
    <w:p w:rsidR="003F3435" w:rsidRDefault="0032493E">
      <w:pPr>
        <w:spacing w:line="480" w:lineRule="auto"/>
        <w:ind w:firstLine="2160"/>
        <w:jc w:val="both"/>
      </w:pPr>
      <w:r>
        <w:rPr>
          <w:u w:val="single"/>
        </w:rPr>
        <w:t xml:space="preserve">(H)</w:t>
      </w:r>
      <w:r xml:space="preserve">
        <w:t> </w:t>
      </w:r>
      <w:r>
        <w:t xml:space="preserve">[</w:t>
      </w:r>
      <w:r>
        <w:rPr>
          <w:strike/>
        </w:rPr>
        <w:t xml:space="preserve">(I)</w:t>
      </w:r>
      <w:r>
        <w:t xml:space="preserve">]</w:t>
      </w:r>
      <w:r xml:space="preserve">
        <w:t> </w:t>
      </w:r>
      <w:r xml:space="preserve">
        <w:t> </w:t>
      </w:r>
      <w:r>
        <w:t xml:space="preserve">extracurricular activities under Section 33.081;</w:t>
      </w:r>
    </w:p>
    <w:p w:rsidR="003F3435" w:rsidRDefault="0032493E">
      <w:pPr>
        <w:spacing w:line="480" w:lineRule="auto"/>
        <w:ind w:firstLine="2160"/>
        <w:jc w:val="both"/>
      </w:pPr>
      <w:r>
        <w:rPr>
          <w:u w:val="single"/>
        </w:rPr>
        <w:t xml:space="preserve">(I)</w:t>
      </w:r>
      <w:r xml:space="preserve">
        <w:t> </w:t>
      </w:r>
      <w:r>
        <w:t xml:space="preserve">[</w:t>
      </w:r>
      <w:r>
        <w:rPr>
          <w:strike/>
        </w:rPr>
        <w:t xml:space="preserve">(J)</w:t>
      </w:r>
      <w:r>
        <w:t xml:space="preserve">]</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health and safety under Chapter 38;</w:t>
      </w:r>
    </w:p>
    <w:p w:rsidR="003F3435" w:rsidRDefault="0032493E">
      <w:pPr>
        <w:spacing w:line="480" w:lineRule="auto"/>
        <w:ind w:firstLine="216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rPr>
          <w:u w:val="single"/>
        </w:rPr>
        <w:t xml:space="preserve">(L)</w:t>
      </w:r>
      <w:r xml:space="preserve">
        <w:t> </w:t>
      </w:r>
      <w:r>
        <w:t xml:space="preserve">[</w:t>
      </w:r>
      <w:r>
        <w:rPr>
          <w:strike/>
        </w:rPr>
        <w:t xml:space="preserve">(M)</w:t>
      </w:r>
      <w:r>
        <w:t xml:space="preserve">]</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rPr>
          <w:u w:val="single"/>
        </w:rPr>
        <w:t xml:space="preserve">(M)</w:t>
      </w:r>
      <w:r xml:space="preserve">
        <w:t> </w:t>
      </w:r>
      <w:r>
        <w:t xml:space="preserve">[</w:t>
      </w:r>
      <w:r>
        <w:rPr>
          <w:strike/>
        </w:rPr>
        <w:t xml:space="preserve">(N)</w:t>
      </w:r>
      <w:r>
        <w:t xml:space="preserve">]</w:t>
      </w:r>
      <w:r xml:space="preserve">
        <w:t> </w:t>
      </w:r>
      <w:r xml:space="preserve">
        <w:t> </w:t>
      </w:r>
      <w:r>
        <w:t xml:space="preserve">intensive programs of instruction under Section 28.0213;</w:t>
      </w:r>
    </w:p>
    <w:p w:rsidR="003F3435" w:rsidRDefault="0032493E">
      <w:pPr>
        <w:spacing w:line="480" w:lineRule="auto"/>
        <w:ind w:firstLine="2160"/>
        <w:jc w:val="both"/>
      </w:pPr>
      <w:r>
        <w:rPr>
          <w:u w:val="single"/>
        </w:rPr>
        <w:t xml:space="preserve">(N)</w:t>
      </w:r>
      <w:r xml:space="preserve">
        <w:t> </w:t>
      </w:r>
      <w:r>
        <w:t xml:space="preserve">[</w:t>
      </w:r>
      <w:r>
        <w:rPr>
          <w:strike/>
        </w:rPr>
        <w:t xml:space="preserve">(O)</w:t>
      </w:r>
      <w:r>
        <w:t xml:space="preserve">]</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rPr>
          <w:u w:val="single"/>
        </w:rPr>
        <w:t xml:space="preserve">(O)</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and</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25.085(d), Education Code, is amended to read as follows:</w:t>
      </w:r>
    </w:p>
    <w:p w:rsidR="003F3435" w:rsidRDefault="0032493E">
      <w:pPr>
        <w:spacing w:line="480" w:lineRule="auto"/>
        <w:ind w:firstLine="720"/>
        <w:jc w:val="both"/>
      </w:pPr>
      <w:r>
        <w:t xml:space="preserve">(d)</w:t>
      </w:r>
      <w:r xml:space="preserve">
        <w:t> </w:t>
      </w:r>
      <w:r xml:space="preserve">
        <w:t> </w:t>
      </w:r>
      <w:r>
        <w:t xml:space="preserve">Unless specifically exempted by Section 25.086, a student enrolled in a school district must attend:</w:t>
      </w:r>
    </w:p>
    <w:p w:rsidR="003F3435" w:rsidRDefault="0032493E">
      <w:pPr>
        <w:spacing w:line="480" w:lineRule="auto"/>
        <w:ind w:firstLine="1440"/>
        <w:jc w:val="both"/>
      </w:pPr>
      <w:r>
        <w:t xml:space="preserve">(1)</w:t>
      </w:r>
      <w:r xml:space="preserve">
        <w:t> </w:t>
      </w:r>
      <w:r xml:space="preserve">
        <w:t> </w:t>
      </w:r>
      <w:r>
        <w:t xml:space="preserve">an extended-year program for which the student is eligible that is provided by the district for students identified as likely not to be promoted to the next grade level or tutorial classes required by the district under Section 29.084;</w:t>
      </w:r>
    </w:p>
    <w:p w:rsidR="003F3435" w:rsidRDefault="0032493E">
      <w:pPr>
        <w:spacing w:line="480" w:lineRule="auto"/>
        <w:ind w:firstLine="1440"/>
        <w:jc w:val="both"/>
      </w:pPr>
      <w:r>
        <w:t xml:space="preserve">(2)</w:t>
      </w:r>
      <w:r xml:space="preserve">
        <w:t> </w:t>
      </w:r>
      <w:r xml:space="preserve">
        <w:t> </w:t>
      </w:r>
      <w:r>
        <w:t xml:space="preserve">an accelerated reading instruction program to which the student is assigned under Section 28.006(g);</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an accelerated instruction program to which the student is assigned under Section 28.0211;</w:t>
      </w:r>
    </w:p>
    <w:p w:rsidR="003F3435" w:rsidRDefault="0032493E">
      <w:pPr>
        <w:spacing w:line="480" w:lineRule="auto"/>
        <w:ind w:firstLine="1440"/>
        <w:jc w:val="both"/>
      </w:pPr>
      <w:r>
        <w:t xml:space="preserve">[</w:t>
      </w:r>
      <w:r>
        <w:rPr>
          <w:strike/>
        </w:rPr>
        <w:t xml:space="preserve">(4)</w:t>
      </w:r>
      <w:r>
        <w:t xml:space="preserve">]  a basic skills program to which the student is assigned under Section 29.086;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summer program provided under Section 37.008(l) or Section 37.021.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28.006(j), Education Code, is amended to read as follows:</w:t>
      </w:r>
    </w:p>
    <w:p w:rsidR="003F3435" w:rsidRDefault="0032493E">
      <w:pPr>
        <w:spacing w:line="480" w:lineRule="auto"/>
        <w:ind w:firstLine="720"/>
        <w:jc w:val="both"/>
      </w:pPr>
      <w:r>
        <w:t xml:space="preserve">(j)</w:t>
      </w:r>
      <w:r xml:space="preserve">
        <w:t> </w:t>
      </w:r>
      <w:r xml:space="preserve">
        <w:t> </w:t>
      </w:r>
      <w:r>
        <w:t xml:space="preserve">No more than 15 percent of the funds certified by the commissioner under Subsection (i) may be spent on indirect costs.  [</w:t>
      </w:r>
      <w:r>
        <w:rPr>
          <w:strike/>
        </w:rPr>
        <w:t xml:space="preserve">The commissioner shall evaluate the programs that fail to meet the standard of performance under Section 39.301(c)(5) and may implement interventions or sanctions under Chapter 39A.</w:t>
      </w:r>
      <w:r>
        <w:t xml:space="preserve">]  The commissioner may audit the expenditures of funds appropriated for purposes of this section.  The use of the funds appropriated for purposes of this section shall be verified as part of the district audit under Section 44.008.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determining promotion under Subsection (a), a school district shall consider:</w:t>
      </w:r>
    </w:p>
    <w:p w:rsidR="003F3435" w:rsidRDefault="0032493E">
      <w:pPr>
        <w:spacing w:line="480" w:lineRule="auto"/>
        <w:ind w:firstLine="1440"/>
        <w:jc w:val="both"/>
      </w:pPr>
      <w:r>
        <w:t xml:space="preserve">(1)</w:t>
      </w:r>
      <w:r xml:space="preserve">
        <w:t> </w:t>
      </w:r>
      <w:r xml:space="preserve">
        <w:t> </w:t>
      </w:r>
      <w:r>
        <w:t xml:space="preserve">the recommendation of the student's teacher;</w:t>
      </w:r>
    </w:p>
    <w:p w:rsidR="003F3435" w:rsidRDefault="0032493E">
      <w:pPr>
        <w:spacing w:line="480" w:lineRule="auto"/>
        <w:ind w:firstLine="1440"/>
        <w:jc w:val="both"/>
      </w:pPr>
      <w:r>
        <w:t xml:space="preserve">(2)</w:t>
      </w:r>
      <w:r xml:space="preserve">
        <w:t> </w:t>
      </w:r>
      <w:r xml:space="preserve">
        <w:t> </w:t>
      </w:r>
      <w:r>
        <w:t xml:space="preserve">the student's grade in each subject or course;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student's score on an assessment instrument administered under Section 39.023(a), (b), or (l), to the extent applicable; and</w:t>
      </w:r>
    </w:p>
    <w:p w:rsidR="003F3435" w:rsidRDefault="0032493E">
      <w:pPr>
        <w:spacing w:line="480" w:lineRule="auto"/>
        <w:ind w:firstLine="1440"/>
        <w:jc w:val="both"/>
      </w:pPr>
      <w:r>
        <w:t xml:space="preserve">[</w:t>
      </w:r>
      <w:r>
        <w:rPr>
          <w:strike/>
        </w:rPr>
        <w:t xml:space="preserve">(4)</w:t>
      </w:r>
      <w:r>
        <w:t xml:space="preserve">] any other necessary academic information, as determined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28.0213(b) and (e),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shall design the intensive program of instruction described by Subsection (a) to </w:t>
      </w:r>
      <w:r>
        <w:rPr>
          <w:u w:val="single"/>
        </w:rPr>
        <w:t xml:space="preserve">enable the student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enable the student to:</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to the extent practicable, perform at the student's grade level at the conclusion of the next regular school term;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attain a standard of annual growth specified by the school district and reported by the district to the agency[</w:t>
      </w:r>
      <w:r>
        <w:rPr>
          <w:strike/>
        </w:rPr>
        <w:t xml:space="preserve">; and</w:t>
      </w:r>
      <w:r>
        <w:t xml:space="preserve">]</w:t>
      </w:r>
    </w:p>
    <w:p w:rsidR="003F3435" w:rsidRDefault="0032493E">
      <w:pPr>
        <w:spacing w:line="480" w:lineRule="auto"/>
        <w:ind w:firstLine="1440"/>
        <w:jc w:val="both"/>
      </w:pPr>
      <w:r>
        <w:t xml:space="preserve">[</w:t>
      </w:r>
      <w:r>
        <w:rPr>
          <w:strike/>
        </w:rPr>
        <w:t xml:space="preserve">(2)  if applicable, carry out the purposes of Section 28.0211</w:t>
      </w:r>
      <w:r>
        <w:t xml:space="preserve">].</w:t>
      </w:r>
    </w:p>
    <w:p w:rsidR="003F3435" w:rsidRDefault="0032493E">
      <w:pPr>
        <w:spacing w:line="480" w:lineRule="auto"/>
        <w:ind w:firstLine="720"/>
        <w:jc w:val="both"/>
      </w:pPr>
      <w:r>
        <w:t xml:space="preserve">(e)</w:t>
      </w:r>
      <w:r xml:space="preserve">
        <w:t> </w:t>
      </w:r>
      <w:r xml:space="preserve">
        <w:t> </w:t>
      </w:r>
      <w:r>
        <w:t xml:space="preserve">For a student in a special education program under Subchapter A, Chapter 29, who does not perform satisfactorily on an assessment instrument administered under Section 39.023(a), (b), or (c), the student's admission, review, and dismissal committee shall design the program to[</w:t>
      </w:r>
      <w:r>
        <w:rPr>
          <w:strike/>
        </w:rPr>
        <w:t xml:space="preserve">:</w:t>
      </w:r>
    </w:p>
    <w:p w:rsidR="003F3435" w:rsidRDefault="0032493E">
      <w:pPr>
        <w:spacing w:line="480" w:lineRule="auto"/>
        <w:ind w:firstLine="1440"/>
        <w:jc w:val="both"/>
      </w:pPr>
      <w:r>
        <w:t xml:space="preserve">[</w:t>
      </w:r>
      <w:r>
        <w:rPr>
          <w:strike/>
        </w:rPr>
        <w:t xml:space="preserve">(1)</w:t>
      </w:r>
      <w:r>
        <w:t xml:space="preserve">]  enable the student to attain a standard of annual growth on the basis of the student's individualized education program[</w:t>
      </w:r>
      <w:r>
        <w:rPr>
          <w:strike/>
        </w:rPr>
        <w:t xml:space="preserve">; and</w:t>
      </w:r>
    </w:p>
    <w:p w:rsidR="003F3435" w:rsidRDefault="0032493E">
      <w:pPr>
        <w:spacing w:line="480" w:lineRule="auto"/>
        <w:ind w:firstLine="1440"/>
        <w:jc w:val="both"/>
      </w:pPr>
      <w:r>
        <w:t xml:space="preserve">[</w:t>
      </w:r>
      <w:r>
        <w:rPr>
          <w:strike/>
        </w:rPr>
        <w:t xml:space="preserve">(2)  if applicable, carry out the purposes of Section 28.0211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  Accelerated instruction may require participation of the student before or after normal school hours and may include participation at times of the year outside normal school operations.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29.094(g), Education Code,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law, the commissioner shall provide funding for the pilot program using not more than $6 million of funding appropriated for purposes of </w:t>
      </w:r>
      <w:r>
        <w:rPr>
          <w:u w:val="single"/>
        </w:rPr>
        <w:t xml:space="preserve">former</w:t>
      </w:r>
      <w:r>
        <w:t xml:space="preserve"> Section 28.0211.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39.023, Education Code, is amended by adding Subsection (a-10) to read as follows:</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Before an assessment instrument adopted or developed under Subsection (a) may be administered under that subsection, the assessment instrument must be evaluated by an independent group of qualified public school classroom teachers for readability within the grade level assessed.  Each assessment item must be separately evaluated for readability within the grade level assessed before being field-tested.  A determination of readability must consider available correlations with other assessments commonly used by Texas school districts and shall be verified by an independent group of qualified educators with classroom teaching experience.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39.054, Education Code, is amended by adding Subsections (a-4) and (a-5)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Subsection (a-1) or any other provision of law, until a state standardized assessment instrument is validated under Section 39.023(a-11), the commissioner may not consider student performance on the assessment instrument: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evaluation of a school district's or campus's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assignment of a school district's or campus's performance rating;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when determining the requirements for student advancement, grade level promotion, or high school graduation.</w:t>
      </w:r>
      <w:r>
        <w:t xml:space="preserve"> </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Subsection (a-4) expires September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percentage of students, aggregated by grade level, provided accelerated instruction under Section 28.0211(c), the results of assessment instruments administered under that section, the percentage of students promoted through the grade placement committee process under Section 28.0211, the subject of the assessment instrument on which each student failed to perform satisfactorily under each performance standard under Section 39.0241, and the performance of those students in the school year following that promotion on the assessment instruments required under Section 39.023;</w:t>
      </w:r>
    </w:p>
    <w:p w:rsidR="003F3435" w:rsidRDefault="0032493E">
      <w:pPr>
        <w:spacing w:line="480" w:lineRule="auto"/>
        <w:ind w:firstLine="1440"/>
        <w:jc w:val="both"/>
      </w:pPr>
      <w:r>
        <w:t xml:space="preserve">[</w:t>
      </w:r>
      <w:r>
        <w:rPr>
          <w:strike/>
        </w:rPr>
        <w:t xml:space="preserve">(6)</w:t>
      </w:r>
      <w:r>
        <w:t xml:space="preserve">]  the percentage of students of limited English proficiency exempted from the administration of an assessment instrument under Sections 39.027(a)(1) and (2);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39.305(b),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report card shall include the following information:</w:t>
      </w:r>
    </w:p>
    <w:p w:rsidR="003F3435" w:rsidRDefault="0032493E">
      <w:pPr>
        <w:spacing w:line="480" w:lineRule="auto"/>
        <w:ind w:firstLine="1440"/>
        <w:jc w:val="both"/>
      </w:pPr>
      <w:r>
        <w:t xml:space="preserve">(1)</w:t>
      </w:r>
      <w:r xml:space="preserve">
        <w:t> </w:t>
      </w:r>
      <w:r xml:space="preserve">
        <w:t> </w:t>
      </w:r>
      <w:r>
        <w:t xml:space="preserve">where applicable, the achievement indicators described by Section 39.053(c) and the reporting indicators described by Sections 39.301(c)(1) through </w:t>
      </w:r>
      <w:r>
        <w:rPr>
          <w:u w:val="single"/>
        </w:rPr>
        <w:t xml:space="preserve">(4)</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average class size by grade level and subject;</w:t>
      </w:r>
    </w:p>
    <w:p w:rsidR="003F3435" w:rsidRDefault="0032493E">
      <w:pPr>
        <w:spacing w:line="480" w:lineRule="auto"/>
        <w:ind w:firstLine="1440"/>
        <w:jc w:val="both"/>
      </w:pPr>
      <w:r>
        <w:t xml:space="preserve">(3)</w:t>
      </w:r>
      <w:r xml:space="preserve">
        <w:t> </w:t>
      </w:r>
      <w:r xml:space="preserve">
        <w:t> </w:t>
      </w:r>
      <w:r>
        <w:t xml:space="preserve">the administrative and instructional costs per student, computed in a manner consistent with Section 44.0071; and</w:t>
      </w:r>
    </w:p>
    <w:p w:rsidR="003F3435" w:rsidRDefault="0032493E">
      <w:pPr>
        <w:spacing w:line="480" w:lineRule="auto"/>
        <w:ind w:firstLine="1440"/>
        <w:jc w:val="both"/>
      </w:pPr>
      <w:r>
        <w:t xml:space="preserve">(4)</w:t>
      </w:r>
      <w:r xml:space="preserve">
        <w:t> </w:t>
      </w:r>
      <w:r xml:space="preserve">
        <w:t> </w:t>
      </w:r>
      <w:r>
        <w:t xml:space="preserve">the district's instructional expenditures ratio and instructional employees ratio computed under Section 44.0071, and the statewide average of those ratios, as determined by the commissioner.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28.0211; and</w:t>
      </w:r>
    </w:p>
    <w:p w:rsidR="003F3435" w:rsidRDefault="0032493E">
      <w:pPr>
        <w:spacing w:line="480" w:lineRule="auto"/>
        <w:ind w:firstLine="1440"/>
        <w:jc w:val="both"/>
      </w:pPr>
      <w:r>
        <w:t xml:space="preserve">(2)</w:t>
      </w:r>
      <w:r xml:space="preserve">
        <w:t> </w:t>
      </w:r>
      <w:r xml:space="preserve">
        <w:t> </w:t>
      </w:r>
      <w:r>
        <w:t xml:space="preserve">Section 39.0231.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beginning with the 2019-2020 school year.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