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"Performer"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"URL"</w:t>
      </w:r>
      <w:r>
        <w:rPr>
          <w:u w:val="single"/>
        </w:rPr>
        <w:t xml:space="preserve"> </w:t>
      </w:r>
      <w:r>
        <w:rPr>
          <w:u w:val="single"/>
        </w:rPr>
        <w:t xml:space="preserve">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