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2410</w:t>
      </w:r>
    </w:p>
    <w:p w:rsidR="003F3435" w:rsidRDefault="0032493E">
      <w:pPr>
        <w:ind w:firstLine="720"/>
        <w:jc w:val="both"/>
      </w:pPr>
      <w:r>
        <w:t xml:space="preserve">(Goldman)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public entertainment facility for purposes of certain alcoholic beverage-related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108.73(2),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w:t>
      </w:r>
      <w:r>
        <w:rPr>
          <w:u w:val="single"/>
        </w:rPr>
        <w:t xml:space="preserve">and includes parking areas that are adjacent to the facility</w:t>
      </w:r>
      <w:r>
        <w:t xml:space="preserve">. </w:t>
      </w:r>
      <w:r>
        <w:t xml:space="preserve"> </w:t>
      </w:r>
      <w:r>
        <w:t xml:space="preserve">The term includes a facility that is part of an approved venue project, including the venue and related infrastructure, as those terms are defined by Section 334.001, Local Government Code. </w:t>
      </w:r>
      <w:r>
        <w:t xml:space="preserve">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