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86R13366 KSD-D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2412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requirements for the administration of the Coordinated Admission Program (CAP) at The University of Texas at Austin.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67, Education Code, is amended by adding Section 67.28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67.28.</w:t>
      </w:r>
      <w:r>
        <w:rPr>
          <w:u w:val="single"/>
        </w:rPr>
        <w:t xml:space="preserve"> </w:t>
      </w:r>
      <w:r>
        <w:rPr>
          <w:u w:val="single"/>
        </w:rPr>
        <w:t xml:space="preserve"> </w:t>
      </w:r>
      <w:r>
        <w:rPr>
          <w:u w:val="single"/>
        </w:rPr>
        <w:t xml:space="preserve">COORDINATED ADMISSION PROGRAM.  In  administering the Coordinated Admission Program (CAP) or a successor admissions program under which a student may earn guaranteed transfer admission to the university after successfully completing specified program requirements while enrolled for the student's freshman year at another participating institution of higher education within The University of Texas System, the university, in allotting CAP admission slots among participating institutions for an academic year, shall reserve a portion of admission slots at each participating institution for students who are enrolled at that institution at the time they apply for admission to CAP.</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67.28, Education Code, as added by this Act, applies beginning with admissions to the Coordinated Admission Program at The University of Texas at Austin for the 2020-2021 academic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