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86R7443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2422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permit for a municipal solid waste facility located in a 100-year floodplain.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361, Health and Safety Code, is amended by adding Section 361.1235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361.1235.</w:t>
      </w:r>
      <w:r>
        <w:rPr>
          <w:u w:val="single"/>
        </w:rPr>
        <w:t xml:space="preserve"> </w:t>
      </w:r>
      <w:r>
        <w:rPr>
          <w:u w:val="single"/>
        </w:rPr>
        <w:t xml:space="preserve"> </w:t>
      </w:r>
      <w:r>
        <w:rPr>
          <w:u w:val="single"/>
        </w:rPr>
        <w:t xml:space="preserve">LIMITATION ON ISSUANCE OF MUNICIPAL SOLID WASTE PERMIT FOR FACILITY IN 100-YEAR FLOODPLAIN.  The commission may not approve an application for a municipal solid waste permit for a facility that is to be constructed in an area located in a 100-year floodplain, existing before site development, unless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obtained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approval from the governmental entity with jurisdiction under Section 16.236, Water Code, or a rule adopted by the commission to implement that section;</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floodplain development permit from the municipality, county, or other entity with jurisdiction over the proposed improvements;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conditional letter of map amendment issued by the Federal Emergency Management Agency;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permit issued by the United States Army Corps of Engineers under Section 404(b) of the federal Clean Water Act (33 U.S.C. Section 1344(b)) for construction of all necessary improvements if waters of the United States will be affected by construction of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other requirements of the permit.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361.1235, Health and Safety Code, as added by this Act, applies only to an application for a municipal solid waste permit that is pending before the Texas Commission on Environmental Quality on or after the effective date of this Act.  A municipal solid waste permit that is issued before the effective date of this Act is governed by the law in effect when the permit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