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2432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removal of a public school student from the classroom following certain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37.006(a),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student shall be removed from class and placed in a disciplinary alternative education program as provided by Section 37.008 if the student: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engages in conduct involving a public school that contains the elements of the offense of false alarm or report under Section 42.06, Penal Code, or terroristic threat under Section 22.07, Penal Code;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commits the following on or within 300 feet of school property, as measured from any point on the school's real property boundary line, or while attending a school-sponsored or school-related activity on or off of school property: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engages in conduct punishable as a felony;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engages in conduct that contains the elements of the offense of assault under Section 22.01(a)(1), Penal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sells, gives, or delivers to another person or possesses or uses or is under the influence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marihuana or a controlled substance, as defined by Chapter 481, Health and Safety Code, or by 21 U.S.C. Section 801 et seq.;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dangerous drug, as defined by Chapter 483, Health and Safety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sells, gives, or delivers to another person an alcoholic beverage, as defined by Section 1.04, Alcoholic Beverage Code, commits a serious act or offense while under the influence of alcohol, or possesses, uses, or is under the influence of an alcoholic beverage;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engages in conduct that contains the elements of an offense relating to an abusable volatile chemical under Sections 485.031 through 485.034, Health and Safety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engages in conduct that contains the elements of the offense of public lewdness under Section 21.07, Penal Code, or indecent exposure under Section 21.08, Penal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engages in conduct that contains the elements of the offense of harassment under Section 42.07(a)(1), (2), (3), or (7), Penal Code, against an employee of the school district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