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2432</w:t>
      </w:r>
    </w:p>
    <w:p w:rsidR="003F3435" w:rsidRDefault="0032493E">
      <w:pPr>
        <w:ind w:firstLine="720"/>
        <w:jc w:val="both"/>
      </w:pPr>
      <w:r>
        <w:t xml:space="preserve">(Sanford)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a public school student from the classroom following certain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student shall be removed from class and placed in a disciplinary alternative education program as provided by Section 37.008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engages in conduct involving a public school that contains the elements of the offense of false alarm or report under Section 42.06, Penal Code, or terroristic threat under Section 22.07, Penal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commits the following on or within 300 feet of school property, as measured from any point on the school's real property boundary line, or while attending a school-sponsored or school-related activity on or off of school property: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engages in conduct punishable as a felony;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engages in conduct that contains the elements of the offense of assault under Section 22.01(a)(1), Penal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sells, gives, or delivers to another person or possesses or uses or is under the influence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marihuana or a controlled substance, as defined by Chapter 481, Health and Safety Code, or by 21 U.S.C. Section 801 et seq.;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dangerous drug, as defined by Chapter 483,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sells, gives, or delivers to another person an alcoholic beverage, as defined by Section 1.04, Alcoholic Beverage Code, commits a serious act or offense while under the influence of alcohol, or possesses, uses, or is under the influence of an alcoholic beverage;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engages in conduct that contains the elements of an offense relating to an abusable volatile chemical under Sections 485.031 through 485.034, Health and Safety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engages in conduct that contains the elements of the offense of public lewdness under Section 21.07, Penal Code, or indecent exposure under Section 21.08, Penal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engages in conduct that contains the elements of the offense of harassment under Section 42.07(a)(1), (2), (3), or (7), Penal Code, against an employee of the school district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