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86R9362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removal of a public school student from the classroom following certain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student shall be removed from class and placed in a disciplinary alternative education program as provided by Section 37.008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engages in conduct involving a public school that contains the elements of the offense of false alarm or report under Section 42.06, Penal Code, or terroristic threat under Section 22.07, Penal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commits the following on or within 300 feet of school property, as measured from any point on the school's real property boundary line, or while attending a school-sponsored or school-related activity on or off of school property: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engages in conduct punishable as a felony;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engages in conduct that contains the elements of the offense of assault under Section 22.01(a)(1), Penal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sells, gives, or delivers to another person or possesses or uses or is under the influence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marihuana or a controlled substance, as defined by Chapter 481, Health and Safety Code, or by 21 U.S.C. Section 801 et seq.;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dangerous drug, as defined by Chapter 483,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sells, gives, or delivers to another person an alcoholic beverage, as defined by Section 1.04, Alcoholic Beverage Code, commits a serious act or offense while under the influence of alcohol, or possesses, uses, or is under the influence of an alcoholic beverage;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engages in conduct that contains the elements of an offense relating to an abusable volatile chemical under Sections 485.031 through 485.034, Health and Safety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engages in conduct that contains the elements of the offense of public lewdness under Section 21.07, Penal Code, or indecent exposure under Section 21.08, Penal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engages in conduct that contains the elements of the offense of harassment under Section 42.07, Penal Code, against an employee of the school district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