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Kemah Municipal Management District No. 1; providing a limited authority of eminent domain;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LIMITED EMINENT DOMAIN POWER.  The district may not exercise the power of eminent domain unless the governing body of the city consents to the exercise.</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dissolve the district under Subchapter M, Chapter 375, Local Government Code, unless the board obtains the written consent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3976.0307,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3976, Special District Local Laws Code, as added by Section 1 of this Act, is amended by adding Section 3976.0307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