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2480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Medicaid Waiver Legislative Oversight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531, Government Code, is amended by adding Section 531.172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531.172.</w:t>
      </w:r>
      <w:r>
        <w:rPr>
          <w:u w:val="single"/>
        </w:rPr>
        <w:t xml:space="preserve"> </w:t>
      </w:r>
      <w:r>
        <w:rPr>
          <w:u w:val="single"/>
        </w:rPr>
        <w:t xml:space="preserve"> </w:t>
      </w:r>
      <w:r>
        <w:rPr>
          <w:u w:val="single"/>
        </w:rPr>
        <w:t xml:space="preserve">MEDICAID WAIVER LEGISLATIVE OVERSIGHT COMMITTEE.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"Committee" means the Medicaid Waiver Legislative Oversight Committee established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1115 waiver" means the Texas Healthcare Transformation and Quality Improvement Program waiver under Section 1115 of the federal Social Security Act (42 U.S.C. Section 1315).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Medicaid Waiver Legislative Oversight Committee is created to oversee and advise the commission regarding the Section 1115 waiver and the commission's negotiations with the Centers for Medicare and Medicaid Services or other appropriate federal agency to renew the waiver, including the extension or renewal of the uncompensated care pool and the transition plan for the delivery system that will succeed the Delivery System Reform Incentive Payment (DSRIP)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is composed of eight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four members of the senate, appointed by the lieutenant governor;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four members of the house of representatives, appointed by the speaker of the house of representatives.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member of the committee serves at the pleasure of the appointing official.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lieutenant governor and the speaker of the house of representatives shall each designate a co-chair from among the committee members.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member of the committee may not receive compensation for serving on the committee but is entitled to reimbursement for travel expenses incurred by the member while conducting the business of the committee as provided by the General Appropriations Act.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committee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oversee the Section 1115 waiver and facilitate the design and development of the renewed waiver;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meet at the call of the co-chairs;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research, take public testimony, and issue reports requested by the lieutenant governor or speaker of the house of representatives.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committee may request reports and other information from the commission.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committee shall use existing staff of the senate, the house of representatives, and the Texas Legislative Council to assist the committee in performing its duties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On September 1, 2023, the committee is abolished and this section expires.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lieutenant governor and the speaker of the house of representatives shall appoint the members of the Medicaid Waiver Legislative Oversight Committee as required by Section 531.172(c),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