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86R33833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certain local regulation of certain employment benefits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84.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 means anything of value that an employee receives from an employer in addition to monetary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CERTAIN EMPLOYMENT BENEFITS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mandating a private employer's terms of employment relating to employment benefits, including health, disability, retirement, profit-sharing, death, and group accidental death and dismemberment benefits.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CHAPTER.  This chapter does not affect: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Minimum Wage Act under Chapter 62;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prohibits employment discrimination, regardless of whether the ordinance, order, rule, regulation, or policy is adopted before, on,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84,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