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by a political subdivision of certain employment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</w:t>
      </w:r>
      <w:r>
        <w:rPr>
          <w:u w:val="single"/>
        </w:rPr>
        <w:t xml:space="preserve"> </w:t>
      </w:r>
      <w:r>
        <w:rPr>
          <w:u w:val="single"/>
        </w:rPr>
        <w:t xml:space="preserve">LOCAL REGULATION OF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</w:t>
      </w:r>
      <w:r>
        <w:rPr>
          <w:u w:val="single"/>
        </w:rPr>
        <w:t xml:space="preserve"> </w:t>
      </w:r>
      <w:r>
        <w:rPr>
          <w:u w:val="single"/>
        </w:rPr>
        <w:t xml:space="preserve">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</w:t>
      </w:r>
      <w:r>
        <w:rPr>
          <w:u w:val="single"/>
        </w:rPr>
        <w:t xml:space="preserve"> </w:t>
      </w:r>
      <w:r>
        <w:rPr>
          <w:u w:val="single"/>
        </w:rPr>
        <w:t xml:space="preserve">means anything of value that an employee receives from an employer in addition to monetary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LOCAL REGULATIONS.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any ordinance, order, rule, regulation, or policy regulating a private employer's terms of employment relating to employment benefits other than employment leave, including health, disability, retirement, profit-sharing, death, and group accidental death and dismemberment benefits.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