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2485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prohibition against certain local regulation of certain employment benefits provided by private employers.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Labor Code, is amended by adding Chapter 83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83.  PROHIBITION AGAINST LOCAL REGULATION OF CERTAIN EMPLOYMENT PRACTICES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"Employee" 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 means a person who employs one or more employees.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"Employment benefit" means anything of value that an employee receives from an employer in addition to monetary compensation.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LOCAL REGULATION OF CERTAIN EMPLOYMENT BENEFITS PROHIBITED.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of this state may not adopt or enforce an ordinance, order, rule, regulation, or policy mandating a private employer's terms of employment relating to employment benefits, including health, disability, retirement, profit-sharing, death, and group accidental death and dismemberment benefits.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or policy that violates Subsection (a) is void and unenforceable.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83, Labor Code, as added by this Act, applies to an ordinance, order, rule, regulation, or policy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2485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