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86R30267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2486</w:t>
      </w:r>
    </w:p>
    <w:p w:rsidR="003F3435" w:rsidRDefault="0032493E">
      <w:pPr>
        <w:ind w:firstLine="720"/>
        <w:jc w:val="both"/>
      </w:pPr>
      <w:r>
        <w:t xml:space="preserve">(Phelan)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2486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certain local regulation of the scheduling and overtime compensation practices of private employers.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 PROHIBITION AGAINST LOCAL REGULATION OF CERTAIN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EMPLOYER SCHEDULING PRACTICES OR OVERTIME COMPENSATION PROHIBITED.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 ordinance, order, rule, regulation, or policy regulating a private employer's terms of employment relating to scheduling practices or overtime compensation.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Subsection (a)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 OF CHAPTER.  This chapter does not affect: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Minimum Wage Act under Chapter 62;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prohibits employment discrimination, regardless of whether the ordinance, order, rule, regulation, or policy is adopted before, on, or after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2486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