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86R33834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</w:p>
    <w:p w:rsidR="003F3435" w:rsidRDefault="0032493E">
      <w:pPr>
        <w:ind w:firstLine="720"/>
        <w:jc w:val="both"/>
      </w:pPr>
      <w:r>
        <w:t xml:space="preserve">(Phelan)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certain local regulation of employment leave provided by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EMPLOYMENT LEAVE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regulating a private employer's terms of employment relating to any form of employment leave, including paid days off from work for holidays, sick leave, vacation, and personal necessity.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CHAPTER.  This chapter does not affect: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Minimum Wage Act under Chapter 62;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prohibits employment discrimination, regardless of whether the ordinance, order, rule, regulation, or policy is adopted before, on,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