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Intergovernmental Relations; April</w:t>
      </w:r>
      <w:r xml:space="preserve">
        <w:t> </w:t>
      </w:r>
      <w:r>
        <w:t xml:space="preserve">25,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Cy-Champ Public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8178.003(b)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All land and other property included in the boundaries of the district will benefit from the works and projects accomplished by the district under the powers conferred by Section 59, Article XVI, Texas Constitution</w:t>
      </w:r>
      <w:r>
        <w:rPr>
          <w:u w:val="single"/>
        </w:rPr>
        <w:t xml:space="preserve">, and Section 52, Article III, Texas Constitution</w:t>
      </w:r>
      <w:r>
        <w:t xml:space="preserve">.</w:t>
      </w:r>
    </w:p>
    <w:p w:rsidR="003F3435" w:rsidRDefault="0032493E">
      <w:pPr>
        <w:spacing w:line="480" w:lineRule="auto"/>
        <w:ind w:firstLine="720"/>
        <w:jc w:val="both"/>
      </w:pPr>
      <w:r>
        <w:t xml:space="preserve">(c)</w:t>
      </w:r>
      <w:r xml:space="preserve">
        <w:t> </w:t>
      </w:r>
      <w:r xml:space="preserve">
        <w:t> </w:t>
      </w:r>
      <w:r>
        <w:t xml:space="preserve">The creation of the district is essential to accomplish the purposes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w:t>
      </w:r>
      <w:r>
        <w:t xml:space="preserve"> Section 59, Article XVI, Texas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8178, Special District Local Laws Code, is amended by adding Sections 8178.102, 8178.103, 8178.104, and 8178.105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8178.102.</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8178.103.</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8178.104.</w:t>
      </w:r>
      <w:r>
        <w:rPr>
          <w:u w:val="single"/>
        </w:rPr>
        <w:t xml:space="preserve"> </w:t>
      </w:r>
      <w:r>
        <w:rPr>
          <w:u w:val="single"/>
        </w:rPr>
        <w:t xml:space="preserve"> </w:t>
      </w:r>
      <w:r>
        <w:rPr>
          <w:u w:val="single"/>
        </w:rPr>
        <w:t xml:space="preserve">AUTHORITY TO ESTABLISH DEFINED AREAS.  Notwithstanding the acreage requirement under Section 54.801(a), Water Code, the district may establish and administer defined areas as provided by Subchapter J,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8178.105.</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8178, Special District Local Laws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 FOR ROAD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8178.102.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outstanding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8178.152.</w:t>
      </w:r>
      <w:r>
        <w:rPr>
          <w:u w:val="single"/>
        </w:rPr>
        <w:t xml:space="preserve"> </w:t>
      </w:r>
      <w:r>
        <w:rPr>
          <w:u w:val="single"/>
        </w:rPr>
        <w:t xml:space="preserve"> </w:t>
      </w:r>
      <w:r>
        <w:rPr>
          <w:u w:val="single"/>
        </w:rPr>
        <w:t xml:space="preserve">TAXES FOR ROAD BONDS. </w:t>
      </w:r>
      <w:r>
        <w:rPr>
          <w:u w:val="single"/>
        </w:rPr>
        <w:t xml:space="preserve"> </w:t>
      </w:r>
      <w:r>
        <w:rPr>
          <w:u w:val="single"/>
        </w:rPr>
        <w:t xml:space="preserve">At the time the district issues bonds for road projects payable wholly or partly from ad valorem taxes, the district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Cy-Champ Public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board of directors of the Cy-Champ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