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Intergovernmental Relations; April</w:t>
      </w:r>
      <w:r xml:space="preserve">
        <w:t> </w:t>
      </w:r>
      <w:r>
        <w:t xml:space="preserve">17,</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Harris County Municipal Utility District No. 379;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8045 to read as follows:</w:t>
      </w:r>
    </w:p>
    <w:p w:rsidR="003F3435" w:rsidRDefault="0032493E">
      <w:pPr>
        <w:spacing w:line="480" w:lineRule="auto"/>
        <w:jc w:val="center"/>
      </w:pPr>
      <w:r>
        <w:rPr>
          <w:u w:val="single"/>
        </w:rPr>
        <w:t xml:space="preserve">CHAPTER 8045. </w:t>
      </w:r>
      <w:r>
        <w:rPr>
          <w:u w:val="single"/>
        </w:rPr>
        <w:t xml:space="preserve"> </w:t>
      </w:r>
      <w:r>
        <w:rPr>
          <w:u w:val="single"/>
        </w:rPr>
        <w:t xml:space="preserve">HARRIS COUNTY MUNICIPAL UTILITY DISTRICT NO. 379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