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an ad valorem tax protest by means of an agreed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41.47,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  The joint motion must contain the terms of the disposition of the protest.  The chairman of the board shall issue the agreed order not later than the fifth day after the date on which the joint motion is filed with the board.  If the chairman is unable to issue the agreed order within the five-day period, the board shall issue the agreed order not later than the 30th day after the date on which the joint motion is filed with the board. </w:t>
      </w:r>
      <w:r>
        <w:rPr>
          <w:u w:val="single"/>
        </w:rPr>
        <w:t xml:space="preserve"> </w:t>
      </w:r>
      <w:r>
        <w:rPr>
          <w:u w:val="single"/>
        </w:rPr>
        <w:t xml:space="preserve">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protest filed under Chapter 41, Tax Code, on or after the effective date of this Act.  A protest filed under that chapter before the effective date of this Act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2531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2531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