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86R23596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ad valorem tax protest by means of an agreed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41.47,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  The joint motion must contain the terms of the disposition of the protest.  The chairman of the board shall issue the agreed order not later than the fifth day after the date on which the joint motion is filed with the board.  </w:t>
      </w:r>
      <w:r>
        <w:rPr>
          <w:u w:val="single"/>
        </w:rPr>
        <w:t xml:space="preserve"> </w:t>
      </w:r>
      <w:r>
        <w:rPr>
          <w:u w:val="single"/>
        </w:rPr>
        <w:t xml:space="preserve"> </w:t>
      </w:r>
      <w:r>
        <w:rPr>
          <w:u w:val="single"/>
        </w:rPr>
        <w:t xml:space="preserve">If the chairman is unable to issue the agreed order within the five-day period, the board shall issue the agreed order not later than the 30th day after the date on which the joint motion is filed with the board. </w:t>
      </w:r>
      <w:r>
        <w:rPr>
          <w:u w:val="single"/>
        </w:rPr>
        <w:t xml:space="preserve"> </w:t>
      </w:r>
      <w:r>
        <w:rPr>
          <w:u w:val="single"/>
        </w:rPr>
        <w:t xml:space="preserve">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protest filed under Chapter 41, Tax Code, on or after the effective date of this Act.  A protest filed under that chapter before the effective date of this Act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