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86R13342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Lakehaven Municipal Utility District;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8093 to read as follows:</w:t>
      </w:r>
    </w:p>
    <w:p w:rsidR="003F3435" w:rsidRDefault="0032493E">
      <w:pPr>
        <w:spacing w:line="480" w:lineRule="auto"/>
        <w:jc w:val="center"/>
      </w:pPr>
      <w:r>
        <w:rPr>
          <w:u w:val="single"/>
        </w:rPr>
        <w:t xml:space="preserve">CHAPTER 8093.  LAKEHAVEN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Lakehaven</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8093.0204.</w:t>
      </w:r>
      <w:r>
        <w:rPr>
          <w:u w:val="single"/>
        </w:rPr>
        <w:t xml:space="preserve"> </w:t>
      </w:r>
      <w:r>
        <w:rPr>
          <w:u w:val="single"/>
        </w:rPr>
        <w:t xml:space="preserve"> </w:t>
      </w:r>
      <w:r>
        <w:rPr>
          <w:u w:val="single"/>
        </w:rPr>
        <w:t xml:space="preserve">ROAD STANDARDS AND REQUIREMENTS.  (a)  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revenue, contract payments, grants, or other district money, or any combination of those sources, to pay for a road project authorized by Section 8093.0203.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Lakehaven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