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86R12024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2543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Ranch at Cypress Creek Municipal Utility District No. 1.</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21, Acts of the 71st Legislature, 6th Called Session, 1990, is amended by amending Section 5 and adding Sections 6B, 6C, and 6D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FINDING OF BENEFIT. </w:t>
      </w:r>
      <w:r>
        <w:t xml:space="preserve"> </w:t>
      </w:r>
      <w:r>
        <w:rPr>
          <w:u w:val="single"/>
        </w:rPr>
        <w:t xml:space="preserve">(a)</w:t>
      </w:r>
      <w:r>
        <w:t xml:space="preserve"> </w:t>
      </w:r>
      <w:r>
        <w:t xml:space="preserve"> </w:t>
      </w:r>
      <w:r>
        <w:t xml:space="preserve">All of the land and other property included within the boundaries of the district will be benefited by the works and projects that are to be accomplished by the district under powers conferred by Article XVI, Section 59, of the Texas Constitution. </w:t>
      </w:r>
      <w:r>
        <w:t xml:space="preserve"> </w:t>
      </w:r>
      <w:r>
        <w:t xml:space="preserve">The district is created to serve a public use and benefit.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and a water control and improvement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6B.</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6C.</w:t>
      </w:r>
      <w:r>
        <w:rPr>
          <w:u w:val="single"/>
        </w:rPr>
        <w:t xml:space="preserve"> </w:t>
      </w:r>
      <w:r>
        <w:rPr>
          <w:u w:val="single"/>
        </w:rPr>
        <w:t xml:space="preserve"> </w:t>
      </w:r>
      <w:r>
        <w:rPr>
          <w:u w:val="single"/>
        </w:rPr>
        <w:t xml:space="preserve">ROAD STANDARDS AND REQUIREMENTS.  (a)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6D.</w:t>
      </w:r>
      <w:r>
        <w:rPr>
          <w:u w:val="single"/>
        </w:rPr>
        <w:t xml:space="preserve"> </w:t>
      </w:r>
      <w:r>
        <w:rPr>
          <w:u w:val="single"/>
        </w:rPr>
        <w:t xml:space="preserve"> </w:t>
      </w:r>
      <w:r>
        <w:rPr>
          <w:u w:val="single"/>
        </w:rPr>
        <w:t xml:space="preserve">APPOINTMENT OF ARCHITECTURAL COMMITTEE.  (a)  In order to carry out the provisions of Section 54.237, Water Code, except as provided by Subsection (b), the district may appoint an architectural committee for a subdivision located wholly inside the district that does not have an architectural committee or an area of the district not located in a subdivision.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appoint an architectural committee for a subdivision for which the governing provisions prohibit the appointment of an architectural committee by the district or otherwise.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