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86R20918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Collin County Municipal Utility District No. 2; providing authority to issue bonds and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8097 to read as follows:</w:t>
      </w:r>
    </w:p>
    <w:p w:rsidR="003F3435" w:rsidRDefault="0032493E">
      <w:pPr>
        <w:spacing w:line="480" w:lineRule="auto"/>
        <w:jc w:val="center"/>
      </w:pPr>
      <w:r>
        <w:rPr>
          <w:u w:val="single"/>
        </w:rPr>
        <w:t xml:space="preserve">CHAPTER 8097. </w:t>
      </w:r>
      <w:r>
        <w:rPr>
          <w:u w:val="single"/>
        </w:rPr>
        <w:t xml:space="preserve"> </w:t>
      </w:r>
      <w:r>
        <w:rPr>
          <w:u w:val="single"/>
        </w:rPr>
        <w:t xml:space="preserve">COLLIN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Collin County 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in Collin County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8097.0204.</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8097.0203.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8097.0302.</w:t>
      </w:r>
      <w:r>
        <w:rPr>
          <w:u w:val="single"/>
        </w:rPr>
        <w:t xml:space="preserve"> </w:t>
      </w:r>
      <w:r>
        <w:rPr>
          <w:u w:val="single"/>
        </w:rPr>
        <w:t xml:space="preserve"> </w:t>
      </w:r>
      <w:r>
        <w:rPr>
          <w:u w:val="single"/>
        </w:rPr>
        <w:t xml:space="preserve">TAXES FOR BONDS. At the time the district issues bonds payable wholly or partly from ad valorem taxes, the district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Collin County Municipal Utility District No.</w:t>
      </w:r>
      <w:r xml:space="preserve">
        <w:t> </w:t>
      </w:r>
      <w:r>
        <w:t xml:space="preserve">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