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2551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liability, payment, and benefits for certain workers' compensation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607.055, Government Code, is amended to read as follows:</w:t>
      </w:r>
    </w:p>
    <w:p w:rsidR="003F3435" w:rsidRDefault="0032493E">
      <w:pPr>
        <w:spacing w:line="480" w:lineRule="auto"/>
        <w:ind w:firstLine="720"/>
        <w:jc w:val="both"/>
      </w:pPr>
      <w:r>
        <w:t xml:space="preserve">Sec.</w:t>
      </w:r>
      <w:r xml:space="preserve">
        <w:t> </w:t>
      </w:r>
      <w:r>
        <w:t xml:space="preserve">607.055.</w:t>
      </w:r>
      <w:r xml:space="preserve">
        <w:t> </w:t>
      </w:r>
      <w:r xml:space="preserve">
        <w:t> </w:t>
      </w:r>
      <w:r>
        <w:t xml:space="preserve">CANCER.  (a)</w:t>
      </w:r>
      <w:r xml:space="preserve">
        <w:t> </w:t>
      </w:r>
      <w:r xml:space="preserve">
        <w:t> </w:t>
      </w:r>
      <w:r>
        <w:t xml:space="preserve">A firefighter or emergency medical technician who suffers from cancer resulting in death or total or partial disability is presumed to have developed the cancer during the course and scope of employment as a firefighter or emergency medical technician if:</w:t>
      </w:r>
    </w:p>
    <w:p w:rsidR="003F3435" w:rsidRDefault="0032493E">
      <w:pPr>
        <w:spacing w:line="480" w:lineRule="auto"/>
        <w:ind w:firstLine="1440"/>
        <w:jc w:val="both"/>
      </w:pPr>
      <w:r>
        <w:t xml:space="preserve">(1)</w:t>
      </w:r>
      <w:r xml:space="preserve">
        <w:t> </w:t>
      </w:r>
      <w:r xml:space="preserve">
        <w:t> </w:t>
      </w:r>
      <w:r>
        <w:t xml:space="preserve">the firefighter or emergency medical technician:</w:t>
      </w:r>
    </w:p>
    <w:p w:rsidR="003F3435" w:rsidRDefault="0032493E">
      <w:pPr>
        <w:spacing w:line="480" w:lineRule="auto"/>
        <w:ind w:firstLine="2160"/>
        <w:jc w:val="both"/>
      </w:pPr>
      <w:r>
        <w:t xml:space="preserve">(A)</w:t>
      </w:r>
      <w:r xml:space="preserve">
        <w:t> </w:t>
      </w:r>
      <w:r xml:space="preserve">
        <w:t> </w:t>
      </w:r>
      <w:r>
        <w:t xml:space="preserve">regularly responded on the scene to calls involving fires or fire fighting; or</w:t>
      </w:r>
    </w:p>
    <w:p w:rsidR="003F3435" w:rsidRDefault="0032493E">
      <w:pPr>
        <w:spacing w:line="480" w:lineRule="auto"/>
        <w:ind w:firstLine="2160"/>
        <w:jc w:val="both"/>
      </w:pPr>
      <w:r>
        <w:t xml:space="preserve">(B)</w:t>
      </w:r>
      <w:r xml:space="preserve">
        <w:t> </w:t>
      </w:r>
      <w:r xml:space="preserve">
        <w:t> </w:t>
      </w:r>
      <w:r>
        <w:t xml:space="preserve">regularly responded to an event involving the documented release of radiation or a known or suspected carcinogen while the person was employed as a firefighter or emergency medical technician; and</w:t>
      </w:r>
    </w:p>
    <w:p w:rsidR="003F3435" w:rsidRDefault="0032493E">
      <w:pPr>
        <w:spacing w:line="480" w:lineRule="auto"/>
        <w:ind w:firstLine="1440"/>
        <w:jc w:val="both"/>
      </w:pPr>
      <w:r>
        <w:t xml:space="preserve">(2)</w:t>
      </w:r>
      <w:r xml:space="preserve">
        <w:t> </w:t>
      </w:r>
      <w:r xml:space="preserve">
        <w:t> </w:t>
      </w:r>
      <w:r>
        <w:t xml:space="preserve">the cancer is [</w:t>
      </w:r>
      <w:r>
        <w:rPr>
          <w:strike/>
        </w:rPr>
        <w:t xml:space="preserve">known to be associated with fire fighting or exposure to heat, smoke, radiation, or a known or suspected carcinogen, as</w:t>
      </w:r>
      <w:r>
        <w:t xml:space="preserve">] described by Subsection (b).</w:t>
      </w:r>
    </w:p>
    <w:p w:rsidR="003F3435" w:rsidRDefault="0032493E">
      <w:pPr>
        <w:spacing w:line="480" w:lineRule="auto"/>
        <w:ind w:firstLine="720"/>
        <w:jc w:val="both"/>
      </w:pPr>
      <w:r>
        <w:t xml:space="preserve">(b)</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cancer that originates at the stomach, colon, rectum, skin, prostate, testis, or brain;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non-Hodgkin's lymphoma;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multiple myeloma;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malignant melanoma;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renal cell carcinoma</w:t>
      </w:r>
      <w:r>
        <w:t xml:space="preserve"> [</w:t>
      </w:r>
      <w:r>
        <w:rPr>
          <w:strike/>
        </w:rPr>
        <w:t xml:space="preserve">a type of cancer that may be caused by exposure to heat, smoke, radiation, or a known or suspected carcinogen as determined by the International Agency for Research on Cancer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607.058, Government Code, is amended to read as follows:</w:t>
      </w:r>
    </w:p>
    <w:p w:rsidR="003F3435" w:rsidRDefault="0032493E">
      <w:pPr>
        <w:spacing w:line="480" w:lineRule="auto"/>
        <w:ind w:firstLine="720"/>
        <w:jc w:val="both"/>
      </w:pPr>
      <w:r>
        <w:t xml:space="preserve">Sec.</w:t>
      </w:r>
      <w:r xml:space="preserve">
        <w:t> </w:t>
      </w:r>
      <w:r>
        <w:t xml:space="preserve">607.058.</w:t>
      </w:r>
      <w:r xml:space="preserve">
        <w:t> </w:t>
      </w:r>
      <w:r xml:space="preserve">
        <w:t> </w:t>
      </w:r>
      <w:r>
        <w:t xml:space="preserve">PRESUMPTION REBUTTABLE.  (a)</w:t>
      </w:r>
      <w:r xml:space="preserve">
        <w:t> </w:t>
      </w:r>
      <w:r xml:space="preserve">
        <w:t> </w:t>
      </w:r>
      <w:r>
        <w:t xml:space="preserve">A presumption under Section 607.053, 607.054, 607.055, or 607.056 may be rebutted through a showing by a preponderance of the evidence that a risk factor, accident, hazard, or other cause not associated with the individual's service as a firefighter or emergency medical technician </w:t>
      </w:r>
      <w:r>
        <w:rPr>
          <w:u w:val="single"/>
        </w:rPr>
        <w:t xml:space="preserve">was a substantial factor in bringing about</w:t>
      </w:r>
      <w:r>
        <w:t xml:space="preserve"> [</w:t>
      </w:r>
      <w:r>
        <w:rPr>
          <w:strike/>
        </w:rPr>
        <w:t xml:space="preserve">caused</w:t>
      </w:r>
      <w:r>
        <w:t xml:space="preserve">] the individual's disease or illness</w:t>
      </w:r>
      <w:r>
        <w:rPr>
          <w:u w:val="single"/>
        </w:rPr>
        <w:t xml:space="preserve">, without which the disease or illness would not have occurred</w:t>
      </w:r>
      <w:r>
        <w:t xml:space="preserve">.</w:t>
      </w:r>
    </w:p>
    <w:p w:rsidR="003F3435" w:rsidRDefault="0032493E">
      <w:pPr>
        <w:spacing w:line="480" w:lineRule="auto"/>
        <w:ind w:firstLine="720"/>
        <w:jc w:val="both"/>
      </w:pPr>
      <w:r>
        <w:t xml:space="preserve">(b)</w:t>
      </w:r>
      <w:r xml:space="preserve">
        <w:t> </w:t>
      </w:r>
      <w:r xml:space="preserve">
        <w:t> </w:t>
      </w:r>
      <w:r>
        <w:t xml:space="preserve">A rebuttal offered under this section must include a statement by the person offering the rebuttal that describes, in detail, the evidence that the person reviewed before making the determination that a cause not associated with the individual's service as a firefighter or emergency medical technician </w:t>
      </w:r>
      <w:r>
        <w:rPr>
          <w:u w:val="single"/>
        </w:rPr>
        <w:t xml:space="preserve">was a substantial factor in bringing about</w:t>
      </w:r>
      <w:r>
        <w:t xml:space="preserve"> [</w:t>
      </w:r>
      <w:r>
        <w:rPr>
          <w:strike/>
        </w:rPr>
        <w:t xml:space="preserve">caused</w:t>
      </w:r>
      <w:r>
        <w:t xml:space="preserve">] the individual's disease or illness</w:t>
      </w:r>
      <w:r>
        <w:rPr>
          <w:u w:val="single"/>
        </w:rPr>
        <w:t xml:space="preserve">, without which the disease or illness would not have occurred</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addressing an argument based on a rebuttal offered under this section, an administrative law judge shall make findings of fact and conclusions of law that consider whether a qualified expert, relying on evidence-based medicine, stated the opinion that, based on reasonable medical probability, an identified risk factor, accident, hazard, or other cause not associated with the individual's service as a firefighter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409.021, Labor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An insurance carrier is not required to comply with Subsection (a) if the claim results from an employee's disability or death for which a presumption is claimed to be applicable under Subchapter B, Chapter 607, Government Code, and, not later than the 15th day after the date on which the insurance carrier received written notice of the injury, the insurance carrier has provided the employee and the division with a notice that describes all steps taken by the insurance carrier to investigate the injury before the notice was given and the evidence the carrier reasonably believes is necessary to complete its investigation of the compensability of the injury. </w:t>
      </w:r>
      <w:r>
        <w:rPr>
          <w:u w:val="single"/>
        </w:rPr>
        <w:t xml:space="preserve"> </w:t>
      </w:r>
      <w:r>
        <w:rPr>
          <w:u w:val="single"/>
        </w:rPr>
        <w:t xml:space="preserve">The commissioner shall adopt rules as necessary to implement this subsection.</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409.022, Labor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insurance carrier has not committed an administrative violation under Section 409.021 if the carrier has sent notice to the employee as required by Subsection (d) of this section or Section 409.021(a-3).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415.021, Labor Code, is amended by adding Subsection (c-2)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In determining whether to assess an administrative penalty involving a claim in which the insurance carrier provided notice under Section 409.021(a-3), the commissioner shall consider whether: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employee cooperated with the insurance carrier's investigation of the claim;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timely authorized access to the applicable medical records before the insurance carrier's deadline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 payment of benefits;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notify the division and the employee of the insurance carrier's refusal to pay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insurance carrier conducted an investigation of the claim, applied the statutory presumptions under Subchapter B, Chapter 607, Government Code, and expedited medical benefits under Section 504.055.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504.053(e), Labor Code, is amended to read as follows:</w:t>
      </w:r>
    </w:p>
    <w:p w:rsidR="003F3435" w:rsidRDefault="0032493E">
      <w:pPr>
        <w:spacing w:line="480" w:lineRule="auto"/>
        <w:ind w:firstLine="720"/>
        <w:jc w:val="both"/>
      </w:pPr>
      <w:r>
        <w:t xml:space="preserve">(e)</w:t>
      </w:r>
      <w:r xml:space="preserve">
        <w:t> </w:t>
      </w:r>
      <w:r xml:space="preserve">
        <w:t> </w:t>
      </w:r>
      <w:r>
        <w:t xml:space="preserve">Nothing in this chapter waives sovereign immunity or creates a new cause of action, except that a political subdivision that self-insures either individually or collectively is liable for</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sanctions, administrative penalties, and other remedies authorized under Chapter 415;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attorney's fees as provided by Section 408.221(c); and</w:t>
      </w:r>
    </w:p>
    <w:p w:rsidR="003F3435" w:rsidRDefault="0032493E">
      <w:pPr>
        <w:spacing w:line="480" w:lineRule="auto"/>
        <w:ind w:firstLine="1440"/>
        <w:jc w:val="both"/>
      </w:pPr>
      <w:r>
        <w:rPr>
          <w:u w:val="single"/>
        </w:rPr>
        <w:t xml:space="preserve">(3)</w:t>
      </w:r>
      <w:r xml:space="preserve">
        <w:t> </w:t>
      </w:r>
      <w:r xml:space="preserve">
        <w:t> </w:t>
      </w:r>
      <w:r>
        <w:t xml:space="preserve">attorney's fees as provided by Section 417.003.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504, Labor Code, is amended by adding Section 504.074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504.074.</w:t>
      </w:r>
      <w:r>
        <w:rPr>
          <w:u w:val="single"/>
        </w:rPr>
        <w:t xml:space="preserve"> </w:t>
      </w:r>
      <w:r>
        <w:rPr>
          <w:u w:val="single"/>
        </w:rPr>
        <w:t xml:space="preserve"> </w:t>
      </w:r>
      <w:r>
        <w:rPr>
          <w:u w:val="single"/>
        </w:rPr>
        <w:t xml:space="preserve">SELF-INSURANCE ACCOUNT FOR DEATH BENEFITS AND LIFETIME INCOME BENEFITS. </w:t>
      </w:r>
      <w:r>
        <w:rPr>
          <w:u w:val="single"/>
        </w:rPr>
        <w:t xml:space="preserve"> </w:t>
      </w:r>
      <w:r>
        <w:rPr>
          <w:u w:val="single"/>
        </w:rPr>
        <w:t xml:space="preserve">(a)</w:t>
      </w:r>
      <w:r>
        <w:rPr>
          <w:u w:val="single"/>
        </w:rPr>
        <w:t xml:space="preserve"> </w:t>
      </w:r>
      <w:r>
        <w:rPr>
          <w:u w:val="single"/>
        </w:rPr>
        <w:t xml:space="preserve"> </w:t>
      </w:r>
      <w:r>
        <w:rPr>
          <w:u w:val="single"/>
        </w:rPr>
        <w:t xml:space="preserve">A pool or a political subdivision that self-insures  may establish an account for the payment of death benefits and lifetime income benefits under Chapter 408.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account established under this section may accumulate assets in an amount that the pool or political subdivision, in its sole discretion, determines is necessary in order to pay death benefits and lifetime income benefits.  The establishment of an account under this section or the amount of assets accumulated in the account does not affect the liability of a pool or political subdivision for the payment of death benefits and lifetime income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2256, Government Code, does not apply to the investment of assets in an account established under this section. A pool or political subdivision investing or reinvesting the assets of an account shall discharge its duties solely in the interest of current and future beneficiaries: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exclusive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death benefits and lifetime income benefits to current and future beneficiaries;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defraying reasonable expenses of administering the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care, skill, prudence, and diligence under the prevailing circumstances that a prudent person acting in a like capacity and familiar with matters of the type would use in the conduct of an enterprise with a like character and like aims;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diversifying the investments of the account to minimize the risk of large losses, unless under the circumstances it is clearly prudent not to do so;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accordance with the documents and instruments governing the account to the extent that the documents and instruments are consistent with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choosing and contracting for professional investment management services for an account established under this section and in continuing the use of an investment manager, the pool or political subdivision must act prudently and in the interest of the current and future beneficiaries of the account.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607.055 and 607.058, Government Code, as amended by this Act, apply only to a claim for workers' compensation benefits filed on or after the effective date of this Act.  A claim filed before that date is governed by the law as it existed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commissioner of workers' compensation shall adopt rules as required by or necessary to implement this Act not later than January 1, 2020.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Section 504.053(e)(1), Labor Code, as added by this Act, applies only to an administrative violation that occurs on or after the effective date of this Act.  An administrative violation that occurs before the effective date of this Act is governed by the law applicable to the violation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504.053(e)(2), Labor Code, as added by this Act, applies only to a claim for workers' compensation benefits filed on or after the effective date of this Act.  A claim filed before the effective date of this Act is governed by the law in effect on the date the claim was filed,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2551 passed the Senate on May</w:t>
      </w:r>
      <w:r xml:space="preserve">
        <w:t> </w:t>
      </w:r>
      <w:r>
        <w:t xml:space="preserve">7,</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 May</w:t>
      </w:r>
      <w:r xml:space="preserve">
        <w:t> </w:t>
      </w:r>
      <w:r>
        <w:t xml:space="preserve">23,</w:t>
      </w:r>
      <w:r xml:space="preserve">
        <w:t> </w:t>
      </w:r>
      <w:r>
        <w:t xml:space="preserve">2019, Senate refused to concur in House amendments and requested appointment of Conference Committee; May</w:t>
      </w:r>
      <w:r xml:space="preserve">
        <w:t> </w:t>
      </w:r>
      <w:r>
        <w:t xml:space="preserve">23,</w:t>
      </w:r>
      <w:r xml:space="preserve">
        <w:t> </w:t>
      </w:r>
      <w:r>
        <w:t xml:space="preserve">2019, House granted request of the Senate; May</w:t>
      </w:r>
      <w:r xml:space="preserve">
        <w:t> </w:t>
      </w:r>
      <w:r>
        <w:t xml:space="preserve">26,</w:t>
      </w:r>
      <w:r xml:space="preserve">
        <w:t> </w:t>
      </w:r>
      <w:r>
        <w:t xml:space="preserve">2019, Senate adopted Conference Committee Report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2551 passed the House, with amendments, on May</w:t>
      </w:r>
      <w:r xml:space="preserve">
        <w:t> </w:t>
      </w:r>
      <w:r>
        <w:t xml:space="preserve">21,</w:t>
      </w:r>
      <w:r xml:space="preserve">
        <w:t> </w:t>
      </w:r>
      <w:r>
        <w:t xml:space="preserve">2019, by the following vote:</w:t>
      </w:r>
      <w:r xml:space="preserve">
        <w:t> </w:t>
      </w:r>
      <w:r xml:space="preserve">
        <w:t> </w:t>
      </w:r>
      <w:r>
        <w:t xml:space="preserve">Yeas</w:t>
      </w:r>
      <w:r xml:space="preserve">
        <w:t> </w:t>
      </w:r>
      <w:r>
        <w:t xml:space="preserve">142, Nays</w:t>
      </w:r>
      <w:r xml:space="preserve">
        <w:t> </w:t>
      </w:r>
      <w:r>
        <w:t xml:space="preserve">2, three</w:t>
      </w:r>
      <w:r xml:space="preserve">
        <w:t> </w:t>
      </w:r>
      <w:r>
        <w:t xml:space="preserve">present not voting; May</w:t>
      </w:r>
      <w:r xml:space="preserve">
        <w:t> </w:t>
      </w:r>
      <w:r>
        <w:t xml:space="preserve">23,</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140,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