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86R13996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2559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supplemental environmental projects authorized by the Texas Commission on Environmental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7.067, Water Code, is amended by adding Subsections (d), (e), and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determine the types of projects that may be approved as a supplemental environmental project. </w:t>
      </w:r>
      <w:r>
        <w:rPr>
          <w:u w:val="single"/>
        </w:rPr>
        <w:t xml:space="preserve"> </w:t>
      </w:r>
      <w:r>
        <w:rPr>
          <w:u w:val="single"/>
        </w:rPr>
        <w:t xml:space="preserve">For a respondent that is a local government, those types of projects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purchasing, operating, or maintaining: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alternative fuel vehicles, including passenger cars, light trucks, heavy trucks, and buses;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alternative fuel heavy equipment, including tractors, bulldozers, front-end loaders, and motor graders;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constructing, operating, or maintaining alternative fuel refueling infrastructure necessary to operate an alternative fuel fleet;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energy efficiency upgrades to buildings and facilities owned by the local government, including heating, ventilation, air conditioning, lighting, and building envelope upgrades.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supplemental environmental project involving alternative fuel vehicles, the commission: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allow the project to include: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entire cost of the vehicle;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alternative fuel equipment or upgrades involved;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limit the project to including only the difference in cost between conventional fuel vehicles, equipment, or upgrades and the alternative fuel counterparts.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require a contract associated with a supplemental environmental project to be for a term of less than five years;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allow a contract associated with a supplemental environmental project to be renewable for periods of at least five years.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2559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