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S.J.R.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legislative approval of the historical narrative for certain exhibits featured at the Alamo or a museum owned or operated by the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A state agency with jurisdiction or governance over the Alamo or a museum owned or operated by the state may not allow  the Alamo or museum to feature an exhibit that has as its primary theme the history of the Alamo or this state unless the historical narrative for the exhibit is submitted in written form to the legislature and approved in a resolution adopted by a majority of the members of each house of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define the featured exhibits that are subject to Subsection (a) of this section and the procedures for submission and legislative approval of the historical narrative for the exhibits.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requiring legislative approval of the historical narrative for certain exhibits featured at the Alamo or a museum owned or operated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68, Article III,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legislative approval of the historical narrative for certain exhibits featured at the Alamo or a museum owned or operated by the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