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86R726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 Perry</w:t>
      </w:r>
      <w:r xml:space="preserve">
        <w:tab wTab="150" tlc="none" cTlc="0"/>
      </w:r>
      <w:r>
        <w:t xml:space="preserve">S.J.R.</w:t>
      </w:r>
      <w:r xml:space="preserve">
        <w:t> </w:t>
      </w:r>
      <w:r>
        <w:t xml:space="preserve">No.</w:t>
      </w:r>
      <w:r xml:space="preserve">
        <w:t> </w:t>
      </w:r>
      <w:r>
        <w:t xml:space="preserve">10</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restrict the power of the legislature to mandate requirements on a municipality or county.</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68.</w:t>
      </w:r>
      <w:r>
        <w:rPr>
          <w:u w:val="single"/>
        </w:rPr>
        <w:t xml:space="preserve"> </w:t>
      </w:r>
      <w:r>
        <w:rPr>
          <w:u w:val="single"/>
        </w:rPr>
        <w:t xml:space="preserve"> </w:t>
      </w:r>
      <w:r>
        <w:rPr>
          <w:u w:val="single"/>
        </w:rPr>
        <w:t xml:space="preserve">A law enacted by the legislature on or after January 1, 2020, that requires a municipality or county to establish, expand, or modify a duty or activity that requires the expenditure of revenue by the municipality or county is not effective unless the legislature appropriates or otherwise provides, from a source other than the revenue of the municipality or county, for the payment or reimbursement of the costs incurred for the biennium by the municipality or county in complying with the requirement.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w:t>
      </w:r>
      <w:r>
        <w:t xml:space="preserve"> </w:t>
      </w:r>
      <w:r>
        <w:t xml:space="preserve">The ballot shall be printed to permit voting for or against the proposition: </w:t>
      </w:r>
      <w:r>
        <w:t xml:space="preserve"> </w:t>
      </w:r>
      <w:r>
        <w:t xml:space="preserve">"The constitutional amendment to restrict the power of the legislature from mandating unfunded requirements on a municipality or county."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