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86R2768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S.J.R.</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denial of bail to an accused person if necessary to ensure the person's appearance in court and the safety of the community and the victim of the alleged offense.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 Texas Constitution, is amended by adding Section 11d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11d.</w:t>
      </w:r>
      <w:r>
        <w:rPr>
          <w:u w:val="single"/>
        </w:rPr>
        <w:t xml:space="preserve"> </w:t>
      </w:r>
      <w:r>
        <w:rPr>
          <w:u w:val="single"/>
        </w:rPr>
        <w:t xml:space="preserve"> </w:t>
      </w:r>
      <w:r>
        <w:rPr>
          <w:u w:val="single"/>
        </w:rPr>
        <w:t xml:space="preserve">A person may be denied bail pending trial if a judge or magistrate determines by clear and convincing evidence that requiring bail and conditions of release is insufficient to reasonably ensure: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appearance in court as required;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safety of the community or the victim of the alleged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denial of bail to an accused person if necessary to ensure the person's appearance in court and the safety of the community and the victim of the alleged offense."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