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86R10101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S.J.R.</w:t>
      </w:r>
      <w:r xml:space="preserve">
        <w:t> </w:t>
      </w:r>
      <w:r>
        <w:t xml:space="preserve">No.</w:t>
      </w:r>
      <w:r xml:space="preserve">
        <w:t> </w:t>
      </w:r>
      <w:r>
        <w:t xml:space="preserve">42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operation of casino gaming by licensed persons at nine locations in this state to provide additional money for the permanent school fund and authorizing federally recognized Indian tribes to conduct gaming on certain Indian lands; providing for the requirement of occupational licenses, the authorization of a tax and fees, and the provision of criminal penalties.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47(a),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pass laws prohibiting lotteries and gift enterprises in this State other than those authorized by Subsections (b), (d), (d-1), and (e) of this section </w:t>
      </w:r>
      <w:r>
        <w:rPr>
          <w:u w:val="single"/>
        </w:rPr>
        <w:t xml:space="preserve">and by Section 47a of this article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III, Texas Constitution, is amended by adding Section 47a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47a.</w:t>
      </w:r>
      <w:r>
        <w:rPr>
          <w:u w:val="single"/>
        </w:rPr>
        <w:t xml:space="preserve"> </w:t>
      </w:r>
      <w:r>
        <w:rPr>
          <w:u w:val="single"/>
        </w:rPr>
        <w:t xml:space="preserve"> </w:t>
      </w:r>
      <w:r>
        <w:rPr>
          <w:u w:val="single"/>
        </w:rPr>
        <w:t xml:space="preserve">(a) </w:t>
      </w:r>
      <w:r>
        <w:rPr>
          <w:u w:val="single"/>
        </w:rPr>
        <w:t xml:space="preserve"> </w:t>
      </w:r>
      <w:r>
        <w:rPr>
          <w:u w:val="single"/>
        </w:rPr>
        <w:t xml:space="preserve">The legislature by general law in accordance with this section shall authorize the operation of casino gaming in this state in which individuals for consideration play games of chance that award prizes and are operated by persons licensed or otherwise authorized by this state to conduct casino gaming to provide additional money for the permanent school fund. </w:t>
      </w:r>
      <w:r>
        <w:rPr>
          <w:u w:val="single"/>
        </w:rPr>
        <w:t xml:space="preserve"> </w:t>
      </w:r>
      <w:r>
        <w:rPr>
          <w:u w:val="single"/>
        </w:rPr>
        <w:t xml:space="preserve">The law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casino gaming operations in this state to gaming operated by persons licensed in this state to operate casino gaming at not more than nine licensed locations, with licenses allocated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license in each of the counties of Galveston, Jefferson, and Nueces, provided the license issued in Jefferson County is for a location approved by the commissioners court of the county that has interstate access and other appropriate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licenses in Bexar and Harris Counties to persons who are licensed to conduct pari-mutuel wagering on horse and greyhound races in one of those counties, provided not more than two licenses are awarded in either county;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license in each of three first tier coastal or second tier coastal counties, as those terms are defined by Section 2210.003, Insurance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on casino gaming operations in this state a tax of not less than 18 percent of the casino's gross gaming revenue;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net revenue from the regulation and taxation of casino gaming authorized under this section to be used to fund the permanent school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comprehensive licensing program, including necessary background investigations, to govern a person that manages casino gaming operations in this state or that maintains, manufactures, distributes, sells, or leases casino games for use or play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the state agency responsible for conducting criminal background investigations for the state to provide criminal background information to the state agency responsible for licensing under Paragraph (A) of this subdivision;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the monitoring and inspection of casino gaming operations as necessary to protect the public health, welfare, and safety, to preserve the integrity of this state and gaming operations in the state, and to prevent financial loss to this 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prohibit and impose criminal penalties for the possession and operation of all gaming devices other than devices operated in connection with authorized casino gaming operations or gaming devices otherwise authorized by state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shipments of casino gaming equipment or other gaming devices into, out of, or within this state authorized under this section or a law enacted under this section are legal shipments of the devices and are exempt from the provisions of 15 U.S.C. Sections 1171-1178 prohibiting the transportation of gambling devices.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an Indian tribe or tribal organization that was included on the December 30, 1998, list of Indian Entities Recognized and Eligible to Receive Services from the United States Bureau of Indian Affairs, published in the Federal Register by the Secretary of the Interior as required by 25 U.S.C.</w:t>
      </w:r>
      <w:r>
        <w:rPr>
          <w:u w:val="single"/>
        </w:rPr>
        <w:t xml:space="preserve"> </w:t>
      </w:r>
      <w:r>
        <w:rPr>
          <w:u w:val="single"/>
        </w:rPr>
        <w:t xml:space="preserve">Section 5131, from conducting gaming on land in this State that is held in trust for the tribe or organization or that is recognized by the United States as the tribe's or organization's tribal land.  The prohibitions described by Section 47(a) of this article do not apply to gaming by the tribe or organization on land described by this subsection, and the tribe or organization may conduct gaming on that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operation of casino gaming by licensed persons at nine locations in this state to provide additional money for the permanent school fund and authorizing federally recognized Indian tribes to conduct gaming on certain Indian lands."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