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S.J.R.</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1-b(m), Article VIII, Texas Constitution, is amended to read as follows:</w:t>
      </w:r>
    </w:p>
    <w:p w:rsidR="003F3435" w:rsidRDefault="0032493E">
      <w:pPr>
        <w:spacing w:line="480" w:lineRule="auto"/>
        <w:ind w:firstLine="720"/>
        <w:jc w:val="both"/>
      </w:pPr>
      <w:r>
        <w:t xml:space="preserve">(m)</w:t>
      </w:r>
      <w:r xml:space="preserve">
        <w:t> </w:t>
      </w:r>
      <w:r xml:space="preserve">
        <w:t> </w:t>
      </w:r>
      <w:r>
        <w:t xml:space="preserve">The legislature by general law may provide that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ad valorem taxation of all or part of the market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86th Legislature, Regular Session, 2019,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1-b(m), Article VIII, of this constitution takes effect January 1, 2020,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w:t>
      </w:r>
      <w:r>
        <w:t xml:space="preserve"> </w:t>
      </w:r>
      <w:r>
        <w:t xml:space="preserve">"The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