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86R11895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the year following a year in which the United States decennial census is taken, the Texas Redistricting Commission described by Section 28b of this article shall adjust the boundary lines of the districts for the election of the members of the United States House of Representatives elected from this state, the members of the Texas Senate, and the members of the Texas House of Representatives in accordance with the standards and process provided by Section 28b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or the Texas House of Representatives,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section;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of the four statewide primary elections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and Texas House of Representatives must have reasonably equal population with other districts for the same office except where deviation is required to comply with the Voting Rights Act of 1965 (52 U.S.C. Section 10101 et seq.) or is allowable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Voting Rights Act of 1965 (52 U.S.C. Section 10101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Examples of shared social and economic interests are those interests common to an urban area, a rural area, an industrial area, or an agricultural area and those interests common to areas in which the people share similar living standards, use the same transportation facilities, have similar work opportunities, or have access to the same media of communication relevant to the election process. 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To the extent practicable, districts should be numbered based on geography. Districts bordering Arkansas should be assigned the lowest district numbers, with districts to the west and south assigned progressively higher district numbers.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August 15 of each year following a census year, the commission shall approve final maps that separately set forth the boundary lines of the districts for the election of the members of the United States House of Representatives elected from this state, the members of the Texas Senate, and the members of the Texas House of Representatives. On approval, the commission shall certify each final map to the secretary of state.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issue, with each of the three final maps, a report that explains the basis on which the commission made its decisions in achieving compliance with the criteria listed in Subsection (j) of this section and shall include definitions of the terms and standards used in drawing each final map.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(l), and (m) of this section.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appropriate to the state auditor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and provide adequate funding for office and meeting space for the commission's operations.</w:t>
      </w:r>
      <w:r>
        <w:t xml:space="preserve"> </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12 days before final passage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9,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w:t>
      </w:r>
      <w:r>
        <w:rPr>
          <w:u w:val="single"/>
        </w:rPr>
        <w:t xml:space="preserve"> </w:t>
      </w:r>
      <w:r>
        <w:rPr>
          <w:u w:val="single"/>
        </w:rPr>
        <w:t xml:space="preserve"> </w:t>
      </w:r>
      <w:r>
        <w:rPr>
          <w:u w:val="single"/>
        </w:rPr>
        <w:t xml:space="preserve">(a)  The Texas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Supreme Court has original and exclusive jurisdiction in all proceedings in which a certified final map is challenged or is claimed not to have taken timely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Supreme Court shall give priority to ruling on a petition for a writ of mandamus or a writ of prohibition filed under Subsection (c) of this section. If the supreme court determines that a final certified map violates this constitution, the United States Constitution, or any federal or state statute, the court shall fashion the relief that the court deems appropriate, including the relief described by Section 28b(p)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28b, Article 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and 28c, Article III,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