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legislature to provide for a temporary exemption from ad valorem taxation of a portion of the appraised value of certain property damaged by a disaster.</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Article VIII, Texas Constitution,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may provide that a person who owns property located in an area declared by the governor to be a disaster area following a disaster is entitled to a temporary exemption from ad valorem taxation by a political subdivision of a portion of the appraised value of that property.  The Legislature by general law may prescribe the method of determining the amount of the exemption authorized by this subsection and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w:t>
      </w:r>
      <w:r>
        <w:t xml:space="preserve"> </w:t>
      </w:r>
      <w:r>
        <w:t xml:space="preserve">"The constitutional amendment authorizing the legislature to provide for a temporary exemption from ad valorem taxation of a portion of the appraised value of certain property damaged by a disaster."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