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S.J.R.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relating to the authorization to exempt from ad valorem taxation precious metals.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metals held in a depository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by general law to exempt from ad valorem taxation bullion, specie or precious metals held in a depository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