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S.J.R.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issuance of additional obligations to provide financial assistance to counties for roadways to serve border colonias.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49-l(a),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To fund financial assistance to counties for roadways to serve border colonias, the legislature by general law may authorize the governor to authorize the Texas Public Finance Authority or its successor to issue general obligation bonds or notes of the State of Texas in an aggregate amount not to exceed </w:t>
      </w:r>
      <w:r>
        <w:rPr>
          <w:u w:val="single"/>
        </w:rPr>
        <w:t xml:space="preserve">$275</w:t>
      </w:r>
      <w:r>
        <w:t xml:space="preserve"> [</w:t>
      </w:r>
      <w:r>
        <w:rPr>
          <w:strike/>
        </w:rPr>
        <w:t xml:space="preserve">$175</w:t>
      </w:r>
      <w:r>
        <w:t xml:space="preserve">] million and to enter into related credit agreements.  Except as provided by Subsection (c) of this section, the proceeds from the sale of the bonds and notes may be used only to provide financial assistance to counties for projects to provide access roads to connect border colonias with public roads.  Projects may include the construction of colonia access roads, the acquisition of materials used in maintaining colonia access roads, and projects related to the construction of colonia access roads, such as projects for the drainage of the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authorization of the issuance of $100 million in additional obligations for roadway needs in border colonias."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