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86R1930 NC-D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S.J.R.</w:t>
      </w:r>
      <w:r xml:space="preserve">
        <w:t> </w:t>
      </w:r>
      <w:r>
        <w:t xml:space="preserve">No.</w:t>
      </w:r>
      <w:r xml:space="preserve">
        <w:t> </w:t>
      </w:r>
      <w:r>
        <w:t xml:space="preserve">66</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state or a municipality or county to donate certain property to the United States to promote border crossing security or international bridge trade corridors, to issue public securities to finance the acquisition or construction of that property, and to use public money to make certain payments related to public-private partnerships.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Sections 52m and 52n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52m.</w:t>
      </w:r>
      <w:r>
        <w:rPr>
          <w:u w:val="single"/>
        </w:rPr>
        <w:t xml:space="preserve"> </w:t>
      </w:r>
      <w:r>
        <w:rPr>
          <w:u w:val="single"/>
        </w:rPr>
        <w:t xml:space="preserve"> </w:t>
      </w:r>
      <w:r>
        <w:rPr>
          <w:u w:val="single"/>
        </w:rPr>
        <w:t xml:space="preserve">(a) </w:t>
      </w:r>
      <w:r>
        <w:rPr>
          <w:u w:val="single"/>
        </w:rPr>
        <w:t xml:space="preserve"> </w:t>
      </w:r>
      <w:r>
        <w:rPr>
          <w:u w:val="single"/>
        </w:rPr>
        <w:t xml:space="preserve">The state or a municipality or county may unconditionally donate to the United States to promote border crossing security or international bridge trade corridors: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real property acquired by and improvements to that property acquired or constructed by the state or the municipality or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technology or equipment acquired by the state or the municipality or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described by Subsection (a) of this section, the state or a municipality or county may issue public securities as provided under general law for financing public works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finance the acquisition of property described by that subsection or the construction of improvements described by that subsection;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refund or refinance existing debt incurred by the state or the municipality or county to acquire property described by that subsection or to construct improvements described by that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52n.</w:t>
      </w:r>
      <w:r>
        <w:rPr>
          <w:u w:val="single"/>
        </w:rPr>
        <w:t xml:space="preserve"> </w:t>
      </w:r>
      <w:r>
        <w:rPr>
          <w:u w:val="single"/>
        </w:rPr>
        <w:t xml:space="preserve"> </w:t>
      </w:r>
      <w:r>
        <w:rPr>
          <w:u w:val="single"/>
        </w:rPr>
        <w:t xml:space="preserve">The state or a municipality or county may use public money to pay lease payments, service payments, user fees, debt service, or other costs associated with a public-private partnership.</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authorizing the state or a municipality or county to unconditionally donate to the United States certain property acquired or constructed by the state or the municipality or county to promote border crossing security or international bridge trade corridors, to issue public securities to finance the acquisition or construction of that property, and to use public money to make certain payments related to public-private partnerships."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