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S.J.R.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w:t>
      </w:r>
      <w:r>
        <w:t xml:space="preserve"> </w:t>
      </w:r>
      <w:r>
        <w:t xml:space="preserve">If a person </w:t>
      </w:r>
      <w:r>
        <w:rPr>
          <w:u w:val="single"/>
        </w:rPr>
        <w:t xml:space="preserve">who is</w:t>
      </w:r>
      <w:r>
        <w:t xml:space="preserve"> 65 years of age or older dies in a year in which the person received the exemption, </w:t>
      </w:r>
      <w:r>
        <w:rPr>
          <w:u w:val="single"/>
        </w:rPr>
        <w:t xml:space="preserve">or if a person who is disabled dies on or after January 1, 2013, and received the exemption in that year,</w:t>
      </w:r>
      <w:r>
        <w:t xml:space="preserve">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w:t>
      </w:r>
      <w:r>
        <w:t xml:space="preserve"> </w:t>
      </w:r>
      <w:r>
        <w:t xml:space="preserve">The legislature, by general law, may provide for the transfer of all or a proportionate amount of a limitation provided by this subsection for a person who qualifies for the limitation and establishes a different residence homestead. </w:t>
      </w:r>
      <w:r>
        <w:t xml:space="preserve">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w:t>
      </w:r>
      <w:r>
        <w:t xml:space="preserve">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1-b(d), Article VIII, of this constitution takes effect January 1, 2020,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