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S.J.R.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65 years of age or older dies in a year in which the person received the exemption, </w:t>
      </w:r>
      <w:r>
        <w:rPr>
          <w:u w:val="single"/>
        </w:rPr>
        <w:t xml:space="preserve">or if a person who is disabled dies on or after January 1, 2013, and received the exemption in that year,</w:t>
      </w:r>
      <w:r>
        <w:t xml:space="preserve">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1-b(d), Article VIII, of this constitution takes effect January 1, 2020,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