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S.J.R.</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issuance of general obligation bonds for conducting a program to create additional housing for individuals with an intellectual or developmental disability.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authorize the Texas Public Finance Authority or its successor in function to provide for, issue, and sell general obligation bonds of the State of Texas in an amount not to exceed $10 million for the purpose of funding a program to create additional housing for individuals with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Proceeds from the sale of the bonds shall be deposited in separate funds or accounts, as provided by general law, in the state treasury to be used by the Health and Human Services Commission or its successor in function to conduct the program described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 proceeds may be used to pay the costs of issuing the bonds and any administrative expense related to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While any of the bonds or interest on the bonds authorized by this section is outstanding and unpaid, from the first money coming into the state treasury in each fiscal year not otherwise appropriated by this constitution, an amount sufficient to pay the principal of and interest on bonds that mature or become due during the fiscal year and to make payments that become due under a related credit agreement during the fiscal year is appropriated, less the amount in the sinking fund at the close of the previous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Texas Public Finance Authority shall consider using a business whose principal place of business is located in this state to issue the bonds authorized by this section and shall include using a historically underutilized business as defined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issuance of general obligation bonds for conducting a program to create additional housing for individuals with an intellectual or developmental disability."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