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86R12917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S.J.R.</w:t>
      </w:r>
      <w:r xml:space="preserve">
        <w:t> </w:t>
      </w:r>
      <w:r>
        <w:t xml:space="preserve">No.</w:t>
      </w:r>
      <w:r xml:space="preserve">
        <w:t> </w:t>
      </w:r>
      <w:r>
        <w:t xml:space="preserve">80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maximum amount of the local option residence homestead exemption from ad valorem taxation by a political subdivision.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1-b(e), Article VIII, Texas Constitution, is amended to read as follows:</w:t>
      </w:r>
    </w:p>
    <w:p w:rsidR="003F3435" w:rsidRDefault="0032493E">
      <w:pPr>
        <w:spacing w:line="480" w:lineRule="auto"/>
        <w:ind w:firstLine="720"/>
        <w:jc w:val="both"/>
      </w:pPr>
      <w:r>
        <w:t xml:space="preserve">(e)</w:t>
      </w:r>
      <w:r xml:space="preserve">
        <w:t> </w:t>
      </w:r>
      <w:r xml:space="preserve">
        <w:t> </w:t>
      </w:r>
      <w:r>
        <w:t xml:space="preserve">The governing body of a political subdivision[</w:t>
      </w:r>
      <w:r>
        <w:rPr>
          <w:strike/>
        </w:rPr>
        <w:t xml:space="preserve">, other than a county education district,</w:t>
      </w:r>
      <w:r>
        <w:t xml:space="preserve">] may exempt from ad valorem taxation a percentage of the market value of the residence homestead of a married or unmarried adult, including one living alone. </w:t>
      </w:r>
      <w:r>
        <w:t xml:space="preserve"> </w:t>
      </w:r>
      <w:r>
        <w:t xml:space="preserve">[</w:t>
      </w:r>
      <w:r>
        <w:rPr>
          <w:strike/>
        </w:rPr>
        <w:t xml:space="preserve">In the manner provided by law, the voters of a county education district at an election held for that purpose may exempt from ad valorem taxation a percentage of the market value of the residence homestead of a married or unmarried adult, including one living alone.</w:t>
      </w:r>
      <w:r>
        <w:t xml:space="preserve">]  The percentage may not exceed </w:t>
      </w:r>
      <w:r>
        <w:rPr>
          <w:u w:val="single"/>
        </w:rPr>
        <w:t xml:space="preserve">100</w:t>
      </w:r>
      <w:r>
        <w:t xml:space="preserve"> </w:t>
      </w:r>
      <w:r>
        <w:t xml:space="preserve">[</w:t>
      </w:r>
      <w:r>
        <w:rPr>
          <w:strike/>
        </w:rPr>
        <w:t xml:space="preserve">twenty</w:t>
      </w:r>
      <w:r>
        <w:t xml:space="preserve">] percent. </w:t>
      </w:r>
      <w:r>
        <w:t xml:space="preserve"> </w:t>
      </w:r>
      <w:r>
        <w:t xml:space="preserve">However, the amount of an exemption authorized pursuant to this subsection may not be less than $5,000 unless the legislature by general law prescribes other monetary restrictions on the amount of the exemption. </w:t>
      </w:r>
      <w:r>
        <w:t xml:space="preserve"> </w:t>
      </w:r>
      <w:r>
        <w:t xml:space="preserve">The legislature by general law may prohibit the governing body of a political subdivision that adopts an exemption under this subsection from reducing the amount of or repealing the exemption. An eligible adult is entitled to receive other applicable exemptions provided by law. </w:t>
      </w:r>
      <w:r>
        <w:t xml:space="preserve"> </w:t>
      </w:r>
      <w:r>
        <w:t xml:space="preserve">Where ad valorem tax has previously been pledged for the payment of debt, the governing body of a political subdivision may continue to levy and collect the tax against the value of the homesteads exempted under this subsection until the debt is discharged if the cessation of the levy would impair the obligation of the contract by which the debt was created. </w:t>
      </w:r>
      <w:r>
        <w:t xml:space="preserve"> </w:t>
      </w:r>
      <w:r>
        <w:t xml:space="preserve">The legislature by general law may prescribe procedures for the administration of residence homestead exemptions.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to increase the maximum amount of the local option residence homestead exemption from ad valorem taxation by a political subdivision from 20 percent to 100 percent."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