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136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Preston Ray Bridges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full and generous life drew to a close with the passing of Preston Ray Bridges of Quitman on November 21, 2018, at the age of 80;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son of H.</w:t>
      </w:r>
      <w:r xml:space="preserve">
        <w:t> </w:t>
      </w:r>
      <w:r>
        <w:t xml:space="preserve">L.</w:t>
      </w:r>
      <w:r xml:space="preserve">
        <w:t> </w:t>
      </w:r>
      <w:r>
        <w:t xml:space="preserve">and Annice Bridges, Preston Bridges was born in Forest Hill on September 8, 1938; his mother died when he was five months old, and his siblings, J.</w:t>
      </w:r>
      <w:r xml:space="preserve">
        <w:t> </w:t>
      </w:r>
      <w:r>
        <w:t xml:space="preserve">C., Clarence, Les, Aline, Minnie Lee, Louise, and Marie, helped raise their younger brother on the family farm; learning the value of hard work from his father, he graduated from Quitman High School in 1957 and attended Paris Junior College and Arlington State University;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Bridges wed Barbara Medlin on October 31, 1958, and the couple shared a rewarding marriage of 60 years; they became the proud parents of a son, Rocky, and their treasured family later grew to include two grandsons, Colby and Kyle;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Answering his nation's call to duty, Mr.</w:t>
      </w:r>
      <w:r xml:space="preserve">
        <w:t> </w:t>
      </w:r>
      <w:r>
        <w:t xml:space="preserve">Bridges joined the United States Army in 1961; he was deployed to Bad Kreuznach, Germany, and assigned to the adjutant general's office, and he eventually received the Army Commendation Medal;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Returning to the United States in 1964, Mr.</w:t>
      </w:r>
      <w:r xml:space="preserve">
        <w:t> </w:t>
      </w:r>
      <w:r>
        <w:t xml:space="preserve">Bridges embarked on a career with Texas Instruments that would span two decades; in 1973, he and his family moved to Quitman, where he went on to serve as executive vice president of Wood County National Bank and to retire following a 19-year tenure; engaged in his community, Mr.</w:t>
      </w:r>
      <w:r xml:space="preserve">
        <w:t> </w:t>
      </w:r>
      <w:r>
        <w:t xml:space="preserve">Bridges was active with the Quitman Youth Foundation, and he was a member of the Quitman Independent School District Board of Trustees; he also held leadership roles with the Quitman Chamber of Commerce, the Wood County Farm Bureau, and the Wood County Junior Livestock Show, and he served his congregation as a deacon at Faith Baptist Church;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Although Preston Bridges is deeply missed, memories of his devotion to his family, his faith, and his community remain to comfort and inspire those he leaves behind;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Preston Ray Bridges and extend sincere sympathy to his loved ones; and, be it</w:t>
      </w:r>
      <w:r xml:space="preserve">
        <w:t> </w:t>
      </w:r>
      <w:r>
        <w:t xml:space="preserve">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Preston Ray Bridges.</w:t>
      </w:r>
    </w:p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7,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