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146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High school graduation is one of life's pivotal milestones, and Jasmine N.</w:t>
      </w:r>
      <w:r xml:space="preserve">
        <w:t> </w:t>
      </w:r>
      <w:r>
        <w:t xml:space="preserve">Boudreaux, a homeschool student in Bay City, is celebrating this joyful occasion on May 18,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Earning a high school diploma requires hard work and dedication, and Ms.</w:t>
      </w:r>
      <w:r xml:space="preserve">
        <w:t> </w:t>
      </w:r>
      <w:r>
        <w:t xml:space="preserve">Boudreaux may reflect with pride on the perseverance and individual initiative she has demonstrated in pursuit of her goals;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addition to her academic achievements, Ms.</w:t>
      </w:r>
      <w:r xml:space="preserve">
        <w:t> </w:t>
      </w:r>
      <w:r>
        <w:t xml:space="preserve">Boudreaux has excelled athletically and earned a scholarship to swim for The University of Texas Permian Basin;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Exciting challenges and opportunities await this outstanding young Texan, and it is a pleasure to join her family and friends in recognizing her as she embarks on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Jasmine N.</w:t>
      </w:r>
      <w:r xml:space="preserve">
        <w:t> </w:t>
      </w:r>
      <w:r>
        <w:t xml:space="preserve">Boudreaux on the occasion of her high school graduation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Boudreaux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Taylor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146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