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179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The Senate of the State of Texas takes great pleasure</w:t>
      </w:r>
      <w:r>
        <w:t xml:space="preserve"> in joining the citizens of Chambers County for the celebration of Chambers County Day at the Capitol on February 13,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Chambers County is situated on 600 square miles of Gulf Coast plains, and it has a long and colorful history; in 1756, Spaniards erected a mission and presidio near present-day Wallisville to secure their control of the region, and in 1818, a group of French supporters of Napoleon Bonaparte established a short-lived colony near present-day Anahuac; later, in 1832 and 1835, disturbances at Anahuac between Anglo settlers and Mexican authorities foreshadowed the Texas Revolution;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Chambers County was created from portions of Liberty and Jefferson Counties in 1858 and named in honor of a prominent local resident, General T. J. Chambers; Wallisville served as the county seat until 1908, when Anahuac assumed that role; other communities in the county today include Beach City, Cove, Double Bayou, Hankamer, Mont Belvieu, Oak Island, Old River-Winfree, Smith Point, Stowell, and Winnie;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Countless tourists are drawn to many attractions and events offered by Chambers County; Anahuac, officially known as the Alligator Capital of Texas, hosts the Texas Gatorfest each September at Fort Anahuac Park, the site of early Texas resistance to Mexican rule; another major celebration is the Texas Rice Festival, which is held in September and October;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Visitors are also drawn by historic sites, excellent golf courses, and bountiful opportunities for birding, fishing, hunting, crabbing, boating, and photography; among the standout attractions are Wallisville Heritage Park, Houston Raceway Park, Moody National Wildlife Refuge, Anahuac National Wildlife Refuge, and the Corps of Engineers Trinity River Recreation Area;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addition to tourism, other enterprises that contribute to the county's economy include the petroleum industry, chemical plants, agribusiness, fish and oyster processing, and manufacturing;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Chambers County is situated between the Houston metroplex and the Golden Triangle of Beaumont-Orange-Port Arthur, and it offers its people the best of both worlds--quiet, rural living and convenient access to big-city amenities;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residents of Chambers County are justifiably proud of their achievements, for this noteworthy region and its citizens have played a significant role in the development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declare February 13, 2019, Chambers County Day at the Capitol and extend a warm welcome to the fine citizens who have traveled to Austin to celebrate this occasion;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</w:t>
      </w:r>
      <w:r>
        <w:t xml:space="preserve">the people of Chambers County as a memento of this special occasion.</w:t>
      </w:r>
    </w:p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