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197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Longview High School football team brought its championship quest to a triumphant close by winning the 2018 University Interscholastic League 6A Division 2 state title on December 22 at AT&amp;T Stadium in Arlington;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marked the first state crown for the Lobos since 1937, and the team got the job done in impressive fashion, compiling a perfect 16-0 record; along the way, they dominated their regular season opponents and captured the district crown before going on to excel in postseason battles; opening the playoffs with a win against Copperas Cove, Longview then dispatched Prosper, Vandegrift, Westfield, and Tascosa High Schools to earn their spot in the championship game;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Facing off against Beaumont West Brook High School with the title on the line, Longview took an early lead but trailed by eight points at intermission; the squad battled its way back in the second half and claimed the lead on a two-yard touchdown run with 4:42 remaining; the Lobo defense then rose to the occasion by forcing a turnover on the ensuing West Brook drive, and when the final seconds ticked off the clock, the Longview faithful celebrated a nail-biting 35-34 victory;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Lobos' success was the result of a true team effort, with each member of the roster providing valuable contributions over the course of the season; these dedicated athletes benefited from the expertise and leadership of head coach John King and his staff;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players of the Longview High School football team demonstrated admirable skill and determination in winning the state crown and compiling a flawless record against top competition, and they will cherish their memories of this exemplary accomplishment for years to come;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the Longview High School football team on winning the 2018 University Interscholastic League 6A Division 2 state championship and extend to the team's players, coaches, and staff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the Longview High School football team as an expression of high regard by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6,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197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