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274</w:t>
      </w:r>
    </w:p>
    <w:p w:rsidR="003F3435" w:rsidRDefault="003F3435"/>
    <w:p w:rsidR="003F3435" w:rsidRDefault="0032493E">
      <w:pPr>
        <w:spacing w:line="480" w:lineRule="auto"/>
        <w:ind w:firstLine="720"/>
        <w:jc w:val="both"/>
      </w:pPr>
      <w:r>
        <w:rPr>
          <w:b/>
        </w:rPr>
        <w:t xml:space="preserve">WHEREAS</w:t>
      </w:r>
      <w:r>
        <w:t xml:space="preserve">,</w:t>
      </w:r>
      <w:r>
        <w:t xml:space="preserve"> Civic and business leaders of the Coastal Bend are gathering in Austin on February 27, 2019, to celebrate the many qualities that make their region one of the state's premier places to live, work, and play; and</w:t>
      </w:r>
    </w:p>
    <w:p w:rsidR="003F3435" w:rsidRDefault="0032493E">
      <w:pPr>
        <w:spacing w:line="480" w:lineRule="auto"/>
        <w:ind w:firstLine="720"/>
        <w:jc w:val="both"/>
      </w:pPr>
      <w:r>
        <w:rPr>
          <w:b/>
        </w:rPr>
        <w:t xml:space="preserve">WHEREAS</w:t>
      </w:r>
      <w:r>
        <w:t xml:space="preserve">,</w:t>
      </w:r>
      <w:r>
        <w:t xml:space="preserve"> Each year, the Coastal Bend draws more than 9.6 million travelers from across the country and around the globe; in Corpus Christi alone, these 9.6 million guests collectively spend nearly 21 million days visiting the city, thereby infusing over $1.3 billion into the local economy and supporting some 29,000 jobs; and</w:t>
      </w:r>
    </w:p>
    <w:p w:rsidR="003F3435" w:rsidRDefault="0032493E">
      <w:pPr>
        <w:spacing w:line="480" w:lineRule="auto"/>
        <w:ind w:firstLine="720"/>
        <w:jc w:val="both"/>
      </w:pPr>
      <w:r>
        <w:rPr>
          <w:b/>
        </w:rPr>
        <w:t xml:space="preserve">WHEREAS</w:t>
      </w:r>
      <w:r>
        <w:t xml:space="preserve">, The myriad popular attractions in the area include the Padre Island National Seashore, the Texas State Aquarium, and the USS </w:t>
      </w:r>
      <w:r>
        <w:rPr>
          <w:i/>
        </w:rPr>
        <w:t xml:space="preserve">Lexington</w:t>
      </w:r>
      <w:r>
        <w:t xml:space="preserve"> aircraft carrier; the Coastal Bend also hosts many youth and amateur sporting events; and</w:t>
      </w:r>
    </w:p>
    <w:p w:rsidR="003F3435" w:rsidRDefault="0032493E">
      <w:pPr>
        <w:spacing w:line="480" w:lineRule="auto"/>
        <w:ind w:firstLine="720"/>
        <w:jc w:val="both"/>
      </w:pPr>
      <w:r>
        <w:rPr>
          <w:b/>
        </w:rPr>
        <w:t xml:space="preserve">WHEREAS</w:t>
      </w:r>
      <w:r>
        <w:t xml:space="preserve">,</w:t>
      </w:r>
      <w:r>
        <w:t xml:space="preserve"> The Coastal Bend is home to thriving industry due to the Port of Corpus Christi, which is the nation's fourth-largest port by tonnage and is known as the Energy Port of the Americas; and</w:t>
      </w:r>
    </w:p>
    <w:p w:rsidR="003F3435" w:rsidRDefault="0032493E">
      <w:pPr>
        <w:spacing w:line="480" w:lineRule="auto"/>
        <w:ind w:firstLine="720"/>
        <w:jc w:val="both"/>
      </w:pPr>
      <w:r>
        <w:rPr>
          <w:b/>
        </w:rPr>
        <w:t xml:space="preserve">WHEREAS</w:t>
      </w:r>
      <w:r>
        <w:t xml:space="preserve">,</w:t>
      </w:r>
      <w:r>
        <w:t xml:space="preserve"> There are many fine educational institutions in the Coastal Bend area, including Texas A&amp;M University--Corpus Christi, Del Mar Community College, and the schools of the Corpus Christi Independent School District, all of which are working to educate and train the workforce and the leaders of the future; now, therefore, be it</w:t>
      </w:r>
    </w:p>
    <w:p w:rsidR="003F3435" w:rsidRDefault="0032493E">
      <w:pPr>
        <w:spacing w:line="480" w:lineRule="auto"/>
        <w:ind w:firstLine="720"/>
        <w:jc w:val="both"/>
      </w:pPr>
      <w:r>
        <w:rPr>
          <w:b/>
        </w:rPr>
        <w:t xml:space="preserve">RESOLVED</w:t>
      </w:r>
      <w:r>
        <w:t xml:space="preserve">, That the Senate of the State of Texas, 86th Legislature, hereby recognize February 27, 2019, as Coastal Bend Day at the State Capitol and extend to the region's delegation sincere best wishes for a memorable and enjoyable event.</w:t>
      </w:r>
    </w:p>
    <w:p w:rsidR="003F3435" w:rsidRDefault="003F3435"/>
    <w:p w:rsidR="003F3435" w:rsidRDefault="0032493E">
      <w:pPr>
        <w:spacing w:line="480" w:lineRule="auto"/>
        <w:jc w:val="right"/>
      </w:pPr>
      <w:r>
        <w:t xml:space="preserve">Hinojosa</w:t>
      </w:r>
    </w:p>
    <w:p w:rsidR="003F3435" w:rsidRDefault="0032493E">
      <w:pPr>
        <w:jc w:val="both"/>
      </w:pPr>
    </w:p>
    <w:tbl>
      <w:tr>
        <w:tc>
          <w:p>
            <w:r>
              <w:t xml:space="preserve">Alvarado</w:t>
            </w:r>
          </w:p>
        </w:tc>
        <w:tc>
          <w:p>
            <w:r>
              <w:t xml:space="preserve">Huffman</w:t>
            </w:r>
          </w:p>
        </w:tc>
        <w:tc>
          <w:p>
            <w:r>
              <w:t xml:space="preserve">Perry</w:t>
            </w:r>
          </w:p>
        </w:tc>
      </w:tr>
      <w:tr>
        <w:tc>
          <w:p>
            <w:r>
              <w:t xml:space="preserve">Bettencourt</w:t>
            </w:r>
          </w:p>
        </w:tc>
        <w:tc>
          <w:p>
            <w:r>
              <w:t xml:space="preserve">Hughes</w:t>
            </w:r>
          </w:p>
        </w:tc>
        <w:tc>
          <w:p>
            <w:r>
              <w:t xml:space="preserve">Powell</w:t>
            </w:r>
          </w:p>
        </w:tc>
      </w:tr>
      <w:tr>
        <w:tc>
          <w:p>
            <w:r>
              <w:t xml:space="preserve">Birdwell</w:t>
            </w:r>
          </w:p>
        </w:tc>
        <w:tc>
          <w:p>
            <w:r>
              <w:t xml:space="preserve">Johnson</w:t>
            </w:r>
          </w:p>
        </w:tc>
        <w:tc>
          <w:p>
            <w:r>
              <w:t xml:space="preserve">Rodríguez</w:t>
            </w:r>
          </w:p>
        </w:tc>
      </w:tr>
      <w:tr>
        <w:tc>
          <w:p>
            <w:r>
              <w:t xml:space="preserve">Buckingham</w:t>
            </w:r>
          </w:p>
        </w:tc>
        <w:tc>
          <w:p>
            <w:r>
              <w:t xml:space="preserve">Kolkhorst</w:t>
            </w:r>
          </w:p>
        </w:tc>
        <w:tc>
          <w:p>
            <w:r>
              <w:t xml:space="preserve">Schwertner</w:t>
            </w:r>
          </w:p>
        </w:tc>
      </w:tr>
      <w:tr>
        <w:tc>
          <w:p>
            <w:r>
              <w:t xml:space="preserve">Campbell</w:t>
            </w:r>
          </w:p>
        </w:tc>
        <w:tc>
          <w:p>
            <w:r>
              <w:t xml:space="preserve">Lucio</w:t>
            </w:r>
          </w:p>
        </w:tc>
        <w:tc>
          <w:p>
            <w:r>
              <w:t xml:space="preserve">Seliger</w:t>
            </w:r>
          </w:p>
        </w:tc>
      </w:tr>
      <w:tr>
        <w:tc>
          <w:p>
            <w:r>
              <w:t xml:space="preserve">Creighton</w:t>
            </w:r>
          </w:p>
        </w:tc>
        <w:tc>
          <w:p>
            <w:r>
              <w:t xml:space="preserve">Menéndez</w:t>
            </w:r>
          </w:p>
        </w:tc>
        <w:tc>
          <w:p>
            <w:r>
              <w:t xml:space="preserve">Taylor</w:t>
            </w:r>
          </w:p>
        </w:tc>
      </w:tr>
      <w:tr>
        <w:tc>
          <w:p>
            <w:r>
              <w:t xml:space="preserve">Fallon</w:t>
            </w:r>
          </w:p>
        </w:tc>
        <w:tc>
          <w:p>
            <w:r>
              <w:t xml:space="preserve">Miles</w:t>
            </w:r>
          </w:p>
        </w:tc>
        <w:tc>
          <w:p>
            <w:r>
              <w:t xml:space="preserve">Watson</w:t>
            </w:r>
          </w:p>
        </w:tc>
      </w:tr>
      <w:tr>
        <w:tc>
          <w:p>
            <w:r>
              <w:t xml:space="preserve">Flores</w:t>
            </w:r>
          </w:p>
        </w:tc>
        <w:tc>
          <w:p>
            <w:r>
              <w:t xml:space="preserve">Nelson</w:t>
            </w:r>
          </w:p>
        </w:tc>
        <w:tc>
          <w:p>
            <w:r>
              <w:t xml:space="preserve">West</w:t>
            </w:r>
          </w:p>
        </w:tc>
      </w:tr>
      <w:tr>
        <w:tc>
          <w:p>
            <w:r>
              <w:t xml:space="preserve">Hall</w:t>
            </w:r>
          </w:p>
        </w:tc>
        <w:tc>
          <w:p>
            <w:r>
              <w:t xml:space="preserve">Nichols</w:t>
            </w:r>
          </w:p>
        </w:tc>
        <w:tc>
          <w:p>
            <w:r>
              <w:t xml:space="preserve">Whitmire</w:t>
            </w:r>
          </w:p>
        </w:tc>
      </w:tr>
      <w:tr>
        <w:tc>
          <w:p>
            <w:r>
              <w:t xml:space="preserve">Hancock</w:t>
            </w:r>
          </w:p>
        </w:tc>
        <w:tc>
          <w:p>
            <w:r>
              <w:t xml:space="preserve">Paxton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27,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